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5B642" w14:textId="77777777" w:rsidR="006A07ED" w:rsidRPr="00F350BD" w:rsidRDefault="00C6298B">
      <w:pPr>
        <w:pStyle w:val="Heading1"/>
        <w:ind w:left="219" w:right="260"/>
        <w:rPr>
          <w:sz w:val="22"/>
          <w:szCs w:val="22"/>
        </w:rPr>
      </w:pPr>
      <w:r w:rsidRPr="00F350BD">
        <w:rPr>
          <w:sz w:val="22"/>
          <w:szCs w:val="22"/>
        </w:rPr>
        <w:t xml:space="preserve">PETROLEUM AND NATURAL GAS REGULATORY BOARD </w:t>
      </w:r>
    </w:p>
    <w:p w14:paraId="7FE21B86" w14:textId="77777777" w:rsidR="006A07ED" w:rsidRPr="00F350BD" w:rsidRDefault="00C6298B">
      <w:pPr>
        <w:pStyle w:val="Heading1"/>
        <w:ind w:left="219" w:right="260"/>
        <w:rPr>
          <w:sz w:val="22"/>
          <w:szCs w:val="22"/>
        </w:rPr>
      </w:pPr>
      <w:r w:rsidRPr="00F350BD">
        <w:rPr>
          <w:sz w:val="22"/>
          <w:szCs w:val="22"/>
        </w:rPr>
        <w:t xml:space="preserve">NOTIFICATION </w:t>
      </w:r>
    </w:p>
    <w:p w14:paraId="7B1C2119" w14:textId="5759853C" w:rsidR="00F34F83" w:rsidRPr="00F350BD" w:rsidRDefault="00C6298B">
      <w:pPr>
        <w:pStyle w:val="Heading1"/>
        <w:ind w:left="219" w:right="260"/>
        <w:rPr>
          <w:sz w:val="22"/>
          <w:szCs w:val="22"/>
        </w:rPr>
      </w:pPr>
      <w:r w:rsidRPr="00F350BD">
        <w:rPr>
          <w:sz w:val="22"/>
          <w:szCs w:val="22"/>
        </w:rPr>
        <w:t>New Delhi, the</w:t>
      </w:r>
      <w:r w:rsidR="00DA4415" w:rsidRPr="00F350BD">
        <w:rPr>
          <w:sz w:val="22"/>
          <w:szCs w:val="22"/>
        </w:rPr>
        <w:t xml:space="preserve"> 28</w:t>
      </w:r>
      <w:r w:rsidR="00DA4415" w:rsidRPr="00F350BD">
        <w:rPr>
          <w:sz w:val="22"/>
          <w:szCs w:val="22"/>
          <w:vertAlign w:val="superscript"/>
        </w:rPr>
        <w:t>th</w:t>
      </w:r>
      <w:r w:rsidR="00DA4415" w:rsidRPr="00F350BD">
        <w:rPr>
          <w:sz w:val="22"/>
          <w:szCs w:val="22"/>
        </w:rPr>
        <w:t xml:space="preserve"> </w:t>
      </w:r>
      <w:r w:rsidR="00BB2A0E" w:rsidRPr="00F350BD">
        <w:rPr>
          <w:sz w:val="22"/>
          <w:szCs w:val="22"/>
        </w:rPr>
        <w:t>September, 2020</w:t>
      </w:r>
      <w:r w:rsidRPr="00F350BD">
        <w:rPr>
          <w:sz w:val="22"/>
          <w:szCs w:val="22"/>
        </w:rPr>
        <w:t xml:space="preserve"> </w:t>
      </w:r>
    </w:p>
    <w:p w14:paraId="012EADE7" w14:textId="33CF1341" w:rsidR="00F34F83" w:rsidRPr="00F350BD" w:rsidRDefault="008C2518">
      <w:pPr>
        <w:ind w:left="-5" w:right="34"/>
        <w:rPr>
          <w:sz w:val="22"/>
          <w:szCs w:val="22"/>
        </w:rPr>
      </w:pPr>
      <w:r w:rsidRPr="0001520E">
        <w:rPr>
          <w:b/>
          <w:bCs/>
          <w:sz w:val="22"/>
          <w:szCs w:val="22"/>
        </w:rPr>
        <w:t>PNGRB/Fin/8-OC(1)/2018(P-836)-</w:t>
      </w:r>
      <w:r>
        <w:rPr>
          <w:sz w:val="22"/>
          <w:szCs w:val="22"/>
        </w:rPr>
        <w:t xml:space="preserve"> </w:t>
      </w:r>
      <w:r w:rsidR="00C6298B" w:rsidRPr="00F350BD">
        <w:rPr>
          <w:sz w:val="22"/>
          <w:szCs w:val="22"/>
        </w:rPr>
        <w:t xml:space="preserve">In exercise of the powers conferred by clause (g) of </w:t>
      </w:r>
      <w:r w:rsidR="00BB2A0E" w:rsidRPr="00F350BD">
        <w:rPr>
          <w:sz w:val="22"/>
          <w:szCs w:val="22"/>
        </w:rPr>
        <w:t>s</w:t>
      </w:r>
      <w:r w:rsidR="00C6298B" w:rsidRPr="00F350BD">
        <w:rPr>
          <w:sz w:val="22"/>
          <w:szCs w:val="22"/>
        </w:rPr>
        <w:t xml:space="preserve">ub-section (2) of section 61 read with clause (g) of </w:t>
      </w:r>
      <w:r w:rsidR="00BB2A0E" w:rsidRPr="00F350BD">
        <w:rPr>
          <w:sz w:val="22"/>
          <w:szCs w:val="22"/>
        </w:rPr>
        <w:t>s</w:t>
      </w:r>
      <w:r w:rsidR="00C6298B" w:rsidRPr="00F350BD">
        <w:rPr>
          <w:sz w:val="22"/>
          <w:szCs w:val="22"/>
        </w:rPr>
        <w:t xml:space="preserve">ection 11 of the Petroleum and Natural Gas Regulatory Board Act, 2006 (19 of 2006), the Petroleum and Natural Gas Regulatory Board hereby makes the following regulations, further </w:t>
      </w:r>
      <w:r w:rsidR="006A07ED" w:rsidRPr="00F350BD">
        <w:rPr>
          <w:sz w:val="22"/>
          <w:szCs w:val="22"/>
        </w:rPr>
        <w:t xml:space="preserve">to </w:t>
      </w:r>
      <w:r w:rsidR="00C6298B" w:rsidRPr="00F350BD">
        <w:rPr>
          <w:sz w:val="22"/>
          <w:szCs w:val="22"/>
        </w:rPr>
        <w:t>amend the Petroleum and Natural Gas Regulatory Board (Levy of Fee and Other Charges) Regulations, 2007, namely</w:t>
      </w:r>
      <w:r w:rsidR="00686E8F" w:rsidRPr="00F350BD">
        <w:rPr>
          <w:sz w:val="22"/>
          <w:szCs w:val="22"/>
        </w:rPr>
        <w:t xml:space="preserve">: — </w:t>
      </w:r>
    </w:p>
    <w:p w14:paraId="76D22718" w14:textId="77777777" w:rsidR="00F34F83" w:rsidRPr="00F350BD" w:rsidRDefault="00C6298B">
      <w:pPr>
        <w:spacing w:after="232" w:line="259" w:lineRule="auto"/>
        <w:ind w:left="0" w:right="0" w:firstLine="0"/>
        <w:jc w:val="left"/>
        <w:rPr>
          <w:strike/>
          <w:sz w:val="22"/>
          <w:szCs w:val="22"/>
        </w:rPr>
      </w:pPr>
      <w:r w:rsidRPr="00F350BD">
        <w:rPr>
          <w:rFonts w:eastAsia="Calibri"/>
          <w:b/>
          <w:sz w:val="22"/>
          <w:szCs w:val="22"/>
        </w:rPr>
        <w:t>1.</w:t>
      </w:r>
      <w:r w:rsidRPr="00F350BD">
        <w:rPr>
          <w:rFonts w:eastAsia="Calibri"/>
          <w:sz w:val="22"/>
          <w:szCs w:val="22"/>
        </w:rPr>
        <w:t xml:space="preserve">  </w:t>
      </w:r>
      <w:r w:rsidRPr="00F350BD">
        <w:rPr>
          <w:b/>
          <w:sz w:val="22"/>
          <w:szCs w:val="22"/>
        </w:rPr>
        <w:t>Short title and commencement:</w:t>
      </w:r>
      <w:r w:rsidRPr="00F350BD">
        <w:rPr>
          <w:sz w:val="22"/>
          <w:szCs w:val="22"/>
        </w:rPr>
        <w:t xml:space="preserve"> </w:t>
      </w:r>
    </w:p>
    <w:p w14:paraId="7732BC0D" w14:textId="0688FE72" w:rsidR="00F34F83" w:rsidRPr="00F350BD" w:rsidRDefault="00C6298B" w:rsidP="00573F7A">
      <w:pPr>
        <w:numPr>
          <w:ilvl w:val="0"/>
          <w:numId w:val="1"/>
        </w:numPr>
        <w:ind w:left="851" w:right="34" w:hanging="425"/>
        <w:rPr>
          <w:sz w:val="22"/>
          <w:szCs w:val="22"/>
        </w:rPr>
      </w:pPr>
      <w:r w:rsidRPr="00F350BD">
        <w:rPr>
          <w:sz w:val="22"/>
          <w:szCs w:val="22"/>
        </w:rPr>
        <w:t xml:space="preserve">These regulations may be called the Petroleum and Natural Gas Regulatory Board (Levy of Fee and Other Charges) Second Amendment Regulations, 2020.  </w:t>
      </w:r>
    </w:p>
    <w:p w14:paraId="70653F86" w14:textId="205E7DBB" w:rsidR="00F34F83" w:rsidRPr="00F350BD" w:rsidRDefault="00C6298B" w:rsidP="00573F7A">
      <w:pPr>
        <w:numPr>
          <w:ilvl w:val="0"/>
          <w:numId w:val="1"/>
        </w:numPr>
        <w:ind w:left="851" w:right="34" w:hanging="425"/>
        <w:rPr>
          <w:sz w:val="22"/>
          <w:szCs w:val="22"/>
        </w:rPr>
      </w:pPr>
      <w:r w:rsidRPr="00F350BD">
        <w:rPr>
          <w:sz w:val="22"/>
          <w:szCs w:val="22"/>
        </w:rPr>
        <w:t>The</w:t>
      </w:r>
      <w:r w:rsidR="006A07ED" w:rsidRPr="00F350BD">
        <w:rPr>
          <w:sz w:val="22"/>
          <w:szCs w:val="22"/>
        </w:rPr>
        <w:t>y</w:t>
      </w:r>
      <w:r w:rsidRPr="00F350BD">
        <w:rPr>
          <w:sz w:val="22"/>
          <w:szCs w:val="22"/>
        </w:rPr>
        <w:t xml:space="preserve"> shall come into force on the date of their publication in the Official Gazette.  </w:t>
      </w:r>
    </w:p>
    <w:p w14:paraId="7742DACF" w14:textId="5EACC554" w:rsidR="00F34F83" w:rsidRPr="00F350BD" w:rsidRDefault="00C6298B" w:rsidP="00027E8F">
      <w:pPr>
        <w:ind w:left="284" w:right="34" w:hanging="299"/>
        <w:rPr>
          <w:sz w:val="22"/>
          <w:szCs w:val="22"/>
        </w:rPr>
      </w:pPr>
      <w:r w:rsidRPr="00F350BD">
        <w:rPr>
          <w:b/>
          <w:sz w:val="22"/>
          <w:szCs w:val="22"/>
        </w:rPr>
        <w:t>2.</w:t>
      </w:r>
      <w:r w:rsidRPr="00F350BD">
        <w:rPr>
          <w:sz w:val="22"/>
          <w:szCs w:val="22"/>
        </w:rPr>
        <w:t xml:space="preserve"> In the Petroleum and Natural Gas Regulatory Board (Levy of Fee and Other Charges) Regulations, 2007: </w:t>
      </w:r>
      <w:r w:rsidR="00686E8F" w:rsidRPr="00F350BD">
        <w:rPr>
          <w:sz w:val="22"/>
          <w:szCs w:val="22"/>
        </w:rPr>
        <w:t xml:space="preserve">—  </w:t>
      </w:r>
    </w:p>
    <w:p w14:paraId="5AD11D07" w14:textId="7712C291" w:rsidR="00F34F83" w:rsidRPr="00F350BD" w:rsidRDefault="00C6298B" w:rsidP="00027E8F">
      <w:pPr>
        <w:numPr>
          <w:ilvl w:val="0"/>
          <w:numId w:val="2"/>
        </w:numPr>
        <w:spacing w:after="247"/>
        <w:ind w:left="851" w:right="34" w:hanging="425"/>
        <w:rPr>
          <w:sz w:val="22"/>
          <w:szCs w:val="22"/>
        </w:rPr>
      </w:pPr>
      <w:r w:rsidRPr="00F350BD">
        <w:rPr>
          <w:sz w:val="22"/>
          <w:szCs w:val="22"/>
        </w:rPr>
        <w:t xml:space="preserve">in regulation 2, </w:t>
      </w:r>
      <w:r w:rsidR="006A07ED" w:rsidRPr="00F350BD">
        <w:rPr>
          <w:sz w:val="22"/>
          <w:szCs w:val="22"/>
        </w:rPr>
        <w:t>for clause</w:t>
      </w:r>
      <w:r w:rsidRPr="00F350BD">
        <w:rPr>
          <w:sz w:val="22"/>
          <w:szCs w:val="22"/>
        </w:rPr>
        <w:t xml:space="preserve"> (</w:t>
      </w:r>
      <w:r w:rsidR="00E14540" w:rsidRPr="00F350BD">
        <w:rPr>
          <w:sz w:val="22"/>
          <w:szCs w:val="22"/>
        </w:rPr>
        <w:t>c</w:t>
      </w:r>
      <w:r w:rsidRPr="00F350BD">
        <w:rPr>
          <w:sz w:val="22"/>
          <w:szCs w:val="22"/>
        </w:rPr>
        <w:t xml:space="preserve">), the following </w:t>
      </w:r>
      <w:r w:rsidR="006A07ED" w:rsidRPr="00F350BD">
        <w:rPr>
          <w:sz w:val="22"/>
          <w:szCs w:val="22"/>
        </w:rPr>
        <w:t xml:space="preserve">clause </w:t>
      </w:r>
      <w:r w:rsidRPr="00F350BD">
        <w:rPr>
          <w:sz w:val="22"/>
          <w:szCs w:val="22"/>
        </w:rPr>
        <w:t>shall be substituted</w:t>
      </w:r>
      <w:r w:rsidR="006A07ED" w:rsidRPr="00F350BD">
        <w:rPr>
          <w:sz w:val="22"/>
          <w:szCs w:val="22"/>
        </w:rPr>
        <w:t>, namely</w:t>
      </w:r>
      <w:r w:rsidRPr="00F350BD">
        <w:rPr>
          <w:sz w:val="22"/>
          <w:szCs w:val="22"/>
        </w:rPr>
        <w:t xml:space="preserve">: </w:t>
      </w:r>
    </w:p>
    <w:p w14:paraId="235369B1" w14:textId="3BE57956" w:rsidR="00F34F83" w:rsidRPr="00F350BD" w:rsidRDefault="00C6298B" w:rsidP="00027E8F">
      <w:pPr>
        <w:spacing w:after="0"/>
        <w:ind w:left="993" w:right="34" w:firstLine="0"/>
        <w:rPr>
          <w:sz w:val="22"/>
          <w:szCs w:val="22"/>
        </w:rPr>
      </w:pPr>
      <w:r w:rsidRPr="00F350BD">
        <w:rPr>
          <w:sz w:val="22"/>
          <w:szCs w:val="22"/>
        </w:rPr>
        <w:t>“</w:t>
      </w:r>
      <w:r w:rsidR="006A07ED" w:rsidRPr="00F350BD">
        <w:rPr>
          <w:sz w:val="22"/>
          <w:szCs w:val="22"/>
        </w:rPr>
        <w:t>(c)</w:t>
      </w:r>
      <w:r w:rsidR="00027E8F" w:rsidRPr="00F350BD">
        <w:rPr>
          <w:sz w:val="22"/>
          <w:szCs w:val="22"/>
        </w:rPr>
        <w:t xml:space="preserve"> </w:t>
      </w:r>
      <w:r w:rsidRPr="00F350BD">
        <w:rPr>
          <w:sz w:val="22"/>
          <w:szCs w:val="22"/>
        </w:rPr>
        <w:t>All other words and expressions used and not defined in these regulations but defined in the Act or other regulations shall have the meanings respectively assigned to them in the Act or the</w:t>
      </w:r>
      <w:r w:rsidR="006A07ED" w:rsidRPr="00F350BD">
        <w:rPr>
          <w:sz w:val="22"/>
          <w:szCs w:val="22"/>
        </w:rPr>
        <w:t xml:space="preserve"> other </w:t>
      </w:r>
      <w:r w:rsidRPr="00F350BD">
        <w:rPr>
          <w:sz w:val="22"/>
          <w:szCs w:val="22"/>
        </w:rPr>
        <w:t xml:space="preserve">regulations, as the case may be.”; </w:t>
      </w:r>
    </w:p>
    <w:p w14:paraId="6D6CB6B9" w14:textId="77777777" w:rsidR="00027E8F" w:rsidRPr="00F350BD" w:rsidRDefault="00027E8F" w:rsidP="00027E8F">
      <w:pPr>
        <w:spacing w:after="0"/>
        <w:ind w:left="993" w:right="34" w:firstLine="0"/>
        <w:rPr>
          <w:sz w:val="22"/>
          <w:szCs w:val="22"/>
        </w:rPr>
      </w:pPr>
    </w:p>
    <w:p w14:paraId="520A5E1A" w14:textId="1F20CD9D" w:rsidR="00F34F83" w:rsidRPr="00F350BD" w:rsidRDefault="00C6298B" w:rsidP="00027E8F">
      <w:pPr>
        <w:numPr>
          <w:ilvl w:val="0"/>
          <w:numId w:val="2"/>
        </w:numPr>
        <w:ind w:left="851" w:right="34" w:hanging="425"/>
        <w:rPr>
          <w:sz w:val="22"/>
          <w:szCs w:val="22"/>
        </w:rPr>
      </w:pPr>
      <w:r w:rsidRPr="00F350BD">
        <w:rPr>
          <w:sz w:val="22"/>
          <w:szCs w:val="22"/>
        </w:rPr>
        <w:t>in regulation 3</w:t>
      </w:r>
      <w:r w:rsidR="006A07ED" w:rsidRPr="00F350BD">
        <w:rPr>
          <w:sz w:val="22"/>
          <w:szCs w:val="22"/>
        </w:rPr>
        <w:t>, in</w:t>
      </w:r>
      <w:r w:rsidRPr="00F350BD">
        <w:rPr>
          <w:sz w:val="22"/>
          <w:szCs w:val="22"/>
        </w:rPr>
        <w:t xml:space="preserve"> sub-regulation (1), </w:t>
      </w:r>
      <w:r w:rsidR="00571DC3" w:rsidRPr="00F350BD">
        <w:rPr>
          <w:sz w:val="22"/>
          <w:szCs w:val="22"/>
        </w:rPr>
        <w:t>-</w:t>
      </w:r>
    </w:p>
    <w:p w14:paraId="72C8EB20" w14:textId="4E306E88" w:rsidR="00F34F83" w:rsidRPr="00F350BD" w:rsidRDefault="006A07ED" w:rsidP="00027E8F">
      <w:pPr>
        <w:numPr>
          <w:ilvl w:val="0"/>
          <w:numId w:val="3"/>
        </w:numPr>
        <w:spacing w:after="232"/>
        <w:ind w:left="1276" w:right="34" w:hanging="425"/>
        <w:rPr>
          <w:sz w:val="22"/>
          <w:szCs w:val="22"/>
        </w:rPr>
      </w:pPr>
      <w:r w:rsidRPr="00F350BD">
        <w:rPr>
          <w:sz w:val="22"/>
          <w:szCs w:val="22"/>
        </w:rPr>
        <w:t xml:space="preserve">for </w:t>
      </w:r>
      <w:r w:rsidR="00C6298B" w:rsidRPr="00F350BD">
        <w:rPr>
          <w:sz w:val="22"/>
          <w:szCs w:val="22"/>
        </w:rPr>
        <w:t>the words “provisions of the Act”</w:t>
      </w:r>
      <w:r w:rsidRPr="00F350BD">
        <w:rPr>
          <w:sz w:val="22"/>
          <w:szCs w:val="22"/>
        </w:rPr>
        <w:t>,</w:t>
      </w:r>
      <w:r w:rsidR="00C6298B" w:rsidRPr="00F350BD">
        <w:rPr>
          <w:sz w:val="22"/>
          <w:szCs w:val="22"/>
        </w:rPr>
        <w:t xml:space="preserve"> the words “provisions of the Act </w:t>
      </w:r>
      <w:r w:rsidR="00261FCA" w:rsidRPr="00F350BD">
        <w:rPr>
          <w:sz w:val="22"/>
          <w:szCs w:val="22"/>
        </w:rPr>
        <w:t xml:space="preserve">or </w:t>
      </w:r>
      <w:r w:rsidR="00C6298B" w:rsidRPr="00F350BD">
        <w:rPr>
          <w:sz w:val="22"/>
          <w:szCs w:val="22"/>
        </w:rPr>
        <w:t xml:space="preserve">the regulations framed thereunder” </w:t>
      </w:r>
      <w:r w:rsidRPr="00F350BD">
        <w:rPr>
          <w:sz w:val="22"/>
          <w:szCs w:val="22"/>
        </w:rPr>
        <w:t>shall be substituted;</w:t>
      </w:r>
    </w:p>
    <w:p w14:paraId="15DC847E" w14:textId="2F39F0CC" w:rsidR="00AB68DC" w:rsidRPr="00F350BD" w:rsidRDefault="00AB68DC" w:rsidP="00027E8F">
      <w:pPr>
        <w:numPr>
          <w:ilvl w:val="0"/>
          <w:numId w:val="3"/>
        </w:numPr>
        <w:ind w:left="1276" w:right="34" w:hanging="425"/>
        <w:rPr>
          <w:sz w:val="22"/>
          <w:szCs w:val="22"/>
        </w:rPr>
      </w:pPr>
      <w:r w:rsidRPr="00F350BD">
        <w:rPr>
          <w:sz w:val="22"/>
          <w:szCs w:val="22"/>
        </w:rPr>
        <w:t>i</w:t>
      </w:r>
      <w:r w:rsidR="006A07ED" w:rsidRPr="00F350BD">
        <w:rPr>
          <w:sz w:val="22"/>
          <w:szCs w:val="22"/>
        </w:rPr>
        <w:t>n the table,</w:t>
      </w:r>
      <w:r w:rsidR="00E136D7" w:rsidRPr="00F350BD">
        <w:rPr>
          <w:sz w:val="22"/>
          <w:szCs w:val="22"/>
        </w:rPr>
        <w:t xml:space="preserve"> --</w:t>
      </w:r>
    </w:p>
    <w:p w14:paraId="20F1291B" w14:textId="330D306C" w:rsidR="00F34F83" w:rsidRPr="00F350BD" w:rsidRDefault="00AB68DC" w:rsidP="00D408CF">
      <w:pPr>
        <w:ind w:left="1843" w:right="34" w:hanging="567"/>
        <w:rPr>
          <w:sz w:val="22"/>
          <w:szCs w:val="22"/>
        </w:rPr>
      </w:pPr>
      <w:r w:rsidRPr="00F350BD">
        <w:rPr>
          <w:sz w:val="22"/>
          <w:szCs w:val="22"/>
        </w:rPr>
        <w:t xml:space="preserve">(A) </w:t>
      </w:r>
      <w:r w:rsidR="00D408CF" w:rsidRPr="00F350BD">
        <w:rPr>
          <w:sz w:val="22"/>
          <w:szCs w:val="22"/>
        </w:rPr>
        <w:t xml:space="preserve">   </w:t>
      </w:r>
      <w:r w:rsidRPr="00F350BD">
        <w:rPr>
          <w:sz w:val="22"/>
          <w:szCs w:val="22"/>
        </w:rPr>
        <w:t xml:space="preserve">in Column (2), for the </w:t>
      </w:r>
      <w:r w:rsidR="00E136D7" w:rsidRPr="00F350BD">
        <w:rPr>
          <w:sz w:val="22"/>
          <w:szCs w:val="22"/>
        </w:rPr>
        <w:t xml:space="preserve">column heading </w:t>
      </w:r>
      <w:r w:rsidR="00C6298B" w:rsidRPr="00F350BD">
        <w:rPr>
          <w:sz w:val="22"/>
          <w:szCs w:val="22"/>
        </w:rPr>
        <w:t>“Activity under the provisions of the Act”</w:t>
      </w:r>
      <w:r w:rsidR="00E136D7" w:rsidRPr="00F350BD">
        <w:rPr>
          <w:sz w:val="22"/>
          <w:szCs w:val="22"/>
        </w:rPr>
        <w:t>,</w:t>
      </w:r>
      <w:r w:rsidR="00C6298B" w:rsidRPr="00F350BD">
        <w:rPr>
          <w:sz w:val="22"/>
          <w:szCs w:val="22"/>
        </w:rPr>
        <w:t xml:space="preserve"> </w:t>
      </w:r>
      <w:r w:rsidRPr="00F350BD">
        <w:rPr>
          <w:sz w:val="22"/>
          <w:szCs w:val="22"/>
        </w:rPr>
        <w:t xml:space="preserve">the column heading </w:t>
      </w:r>
      <w:r w:rsidR="00C6298B" w:rsidRPr="00F350BD">
        <w:rPr>
          <w:sz w:val="22"/>
          <w:szCs w:val="22"/>
        </w:rPr>
        <w:t xml:space="preserve">“Activity under the provisions of the Act </w:t>
      </w:r>
      <w:r w:rsidR="007857ED" w:rsidRPr="00F350BD">
        <w:rPr>
          <w:sz w:val="22"/>
          <w:szCs w:val="22"/>
        </w:rPr>
        <w:t xml:space="preserve">or </w:t>
      </w:r>
      <w:r w:rsidR="00C6298B" w:rsidRPr="00F350BD">
        <w:rPr>
          <w:sz w:val="22"/>
          <w:szCs w:val="22"/>
        </w:rPr>
        <w:t>the regulations framed thereunder”</w:t>
      </w:r>
      <w:r w:rsidRPr="00F350BD">
        <w:rPr>
          <w:sz w:val="22"/>
          <w:szCs w:val="22"/>
        </w:rPr>
        <w:t xml:space="preserve"> shall be substituted</w:t>
      </w:r>
      <w:r w:rsidR="00C6298B" w:rsidRPr="00F350BD">
        <w:rPr>
          <w:sz w:val="22"/>
          <w:szCs w:val="22"/>
        </w:rPr>
        <w:t xml:space="preserve">; </w:t>
      </w:r>
    </w:p>
    <w:p w14:paraId="116DCC1E" w14:textId="3725A68E" w:rsidR="00D50449" w:rsidRPr="00F350BD" w:rsidRDefault="00AB68DC" w:rsidP="00D408CF">
      <w:pPr>
        <w:ind w:left="1843" w:right="34" w:hanging="567"/>
        <w:rPr>
          <w:sz w:val="22"/>
          <w:szCs w:val="22"/>
        </w:rPr>
      </w:pPr>
      <w:r w:rsidRPr="00F350BD">
        <w:rPr>
          <w:sz w:val="22"/>
          <w:szCs w:val="22"/>
        </w:rPr>
        <w:t xml:space="preserve">(B) </w:t>
      </w:r>
      <w:r w:rsidR="00573F7A" w:rsidRPr="00F350BD">
        <w:rPr>
          <w:sz w:val="22"/>
          <w:szCs w:val="22"/>
        </w:rPr>
        <w:t xml:space="preserve">  </w:t>
      </w:r>
      <w:r w:rsidRPr="00F350BD">
        <w:rPr>
          <w:sz w:val="22"/>
          <w:szCs w:val="22"/>
        </w:rPr>
        <w:t>after serial number 10 and the entries relating thereto,</w:t>
      </w:r>
      <w:r w:rsidR="00C6298B" w:rsidRPr="00F350BD">
        <w:rPr>
          <w:sz w:val="22"/>
          <w:szCs w:val="22"/>
        </w:rPr>
        <w:t xml:space="preserve"> the following </w:t>
      </w:r>
      <w:r w:rsidRPr="00F350BD">
        <w:rPr>
          <w:sz w:val="22"/>
          <w:szCs w:val="22"/>
        </w:rPr>
        <w:t xml:space="preserve">serial number and the </w:t>
      </w:r>
      <w:r w:rsidR="00C6298B" w:rsidRPr="00F350BD">
        <w:rPr>
          <w:sz w:val="22"/>
          <w:szCs w:val="22"/>
        </w:rPr>
        <w:t xml:space="preserve">entries </w:t>
      </w:r>
      <w:r w:rsidRPr="00F350BD">
        <w:rPr>
          <w:sz w:val="22"/>
          <w:szCs w:val="22"/>
        </w:rPr>
        <w:t xml:space="preserve">shall </w:t>
      </w:r>
      <w:r w:rsidR="00C6298B" w:rsidRPr="00F350BD">
        <w:rPr>
          <w:sz w:val="22"/>
          <w:szCs w:val="22"/>
        </w:rPr>
        <w:t>be inserted</w:t>
      </w:r>
      <w:r w:rsidRPr="00F350BD">
        <w:rPr>
          <w:sz w:val="22"/>
          <w:szCs w:val="22"/>
        </w:rPr>
        <w:t xml:space="preserve">, </w:t>
      </w:r>
      <w:r w:rsidR="00C6298B" w:rsidRPr="00F350BD">
        <w:rPr>
          <w:sz w:val="22"/>
          <w:szCs w:val="22"/>
        </w:rPr>
        <w:t xml:space="preserve">namely: - </w:t>
      </w:r>
    </w:p>
    <w:p w14:paraId="305C7059" w14:textId="03E6AA70" w:rsidR="009D7B53" w:rsidRPr="00F350BD" w:rsidRDefault="009D7B53" w:rsidP="009D7B53">
      <w:pPr>
        <w:ind w:left="1276" w:right="34" w:hanging="709"/>
        <w:rPr>
          <w:sz w:val="22"/>
          <w:szCs w:val="22"/>
        </w:rPr>
      </w:pPr>
    </w:p>
    <w:tbl>
      <w:tblPr>
        <w:tblStyle w:val="TableGrid"/>
        <w:tblW w:w="8570" w:type="dxa"/>
        <w:tblInd w:w="612" w:type="dxa"/>
        <w:tblCellMar>
          <w:top w:w="14" w:type="dxa"/>
          <w:left w:w="108" w:type="dxa"/>
          <w:right w:w="46" w:type="dxa"/>
        </w:tblCellMar>
        <w:tblLook w:val="04A0" w:firstRow="1" w:lastRow="0" w:firstColumn="1" w:lastColumn="0" w:noHBand="0" w:noVBand="1"/>
      </w:tblPr>
      <w:tblGrid>
        <w:gridCol w:w="659"/>
        <w:gridCol w:w="6095"/>
        <w:gridCol w:w="1816"/>
      </w:tblGrid>
      <w:tr w:rsidR="00F34F83" w:rsidRPr="00DA4415" w14:paraId="66FF284A" w14:textId="77777777" w:rsidTr="005862F9">
        <w:trPr>
          <w:trHeight w:val="838"/>
        </w:trPr>
        <w:tc>
          <w:tcPr>
            <w:tcW w:w="659" w:type="dxa"/>
            <w:tcBorders>
              <w:top w:val="single" w:sz="4" w:space="0" w:color="000000"/>
              <w:left w:val="single" w:sz="4" w:space="0" w:color="000000"/>
              <w:bottom w:val="single" w:sz="4" w:space="0" w:color="000000"/>
              <w:right w:val="single" w:sz="4" w:space="0" w:color="000000"/>
            </w:tcBorders>
          </w:tcPr>
          <w:p w14:paraId="6FA62DD7" w14:textId="77777777" w:rsidR="00F34F83" w:rsidRPr="00F350BD" w:rsidRDefault="00C6298B">
            <w:pPr>
              <w:spacing w:after="0" w:line="259" w:lineRule="auto"/>
              <w:ind w:left="67" w:right="0" w:firstLine="0"/>
              <w:jc w:val="left"/>
              <w:rPr>
                <w:sz w:val="22"/>
                <w:szCs w:val="22"/>
              </w:rPr>
            </w:pPr>
            <w:r w:rsidRPr="00F350BD">
              <w:rPr>
                <w:b/>
                <w:sz w:val="22"/>
                <w:szCs w:val="22"/>
              </w:rPr>
              <w:t xml:space="preserve">S. No. </w:t>
            </w:r>
          </w:p>
        </w:tc>
        <w:tc>
          <w:tcPr>
            <w:tcW w:w="6095" w:type="dxa"/>
            <w:tcBorders>
              <w:top w:val="single" w:sz="4" w:space="0" w:color="000000"/>
              <w:left w:val="single" w:sz="4" w:space="0" w:color="000000"/>
              <w:bottom w:val="single" w:sz="4" w:space="0" w:color="000000"/>
              <w:right w:val="single" w:sz="4" w:space="0" w:color="000000"/>
            </w:tcBorders>
          </w:tcPr>
          <w:p w14:paraId="55397D14" w14:textId="0F5EE648" w:rsidR="00F34F83" w:rsidRPr="00F350BD" w:rsidRDefault="00C6298B">
            <w:pPr>
              <w:spacing w:after="0" w:line="259" w:lineRule="auto"/>
              <w:ind w:left="0" w:right="0" w:firstLine="0"/>
              <w:jc w:val="center"/>
              <w:rPr>
                <w:sz w:val="22"/>
                <w:szCs w:val="22"/>
              </w:rPr>
            </w:pPr>
            <w:r w:rsidRPr="00F350BD">
              <w:rPr>
                <w:b/>
                <w:sz w:val="22"/>
                <w:szCs w:val="22"/>
              </w:rPr>
              <w:t xml:space="preserve">Activity under the provisions of the Act </w:t>
            </w:r>
            <w:r w:rsidR="00AF68C0" w:rsidRPr="00F350BD">
              <w:rPr>
                <w:b/>
                <w:sz w:val="22"/>
                <w:szCs w:val="22"/>
              </w:rPr>
              <w:t>or</w:t>
            </w:r>
            <w:r w:rsidRPr="00F350BD">
              <w:rPr>
                <w:b/>
                <w:sz w:val="22"/>
                <w:szCs w:val="22"/>
              </w:rPr>
              <w:t xml:space="preserve"> the regulations framed thereunder </w:t>
            </w:r>
          </w:p>
        </w:tc>
        <w:tc>
          <w:tcPr>
            <w:tcW w:w="1816" w:type="dxa"/>
            <w:tcBorders>
              <w:top w:val="single" w:sz="4" w:space="0" w:color="000000"/>
              <w:left w:val="single" w:sz="4" w:space="0" w:color="000000"/>
              <w:bottom w:val="single" w:sz="4" w:space="0" w:color="000000"/>
              <w:right w:val="single" w:sz="4" w:space="0" w:color="000000"/>
            </w:tcBorders>
          </w:tcPr>
          <w:p w14:paraId="1980385E" w14:textId="7C3AAFE6" w:rsidR="00F34F83" w:rsidRPr="00F350BD" w:rsidRDefault="00AF68C0">
            <w:pPr>
              <w:spacing w:after="0" w:line="259" w:lineRule="auto"/>
              <w:ind w:left="0" w:right="64" w:firstLine="0"/>
              <w:jc w:val="center"/>
              <w:rPr>
                <w:sz w:val="22"/>
                <w:szCs w:val="22"/>
              </w:rPr>
            </w:pPr>
            <w:r w:rsidRPr="00F350BD">
              <w:rPr>
                <w:b/>
                <w:sz w:val="22"/>
                <w:szCs w:val="22"/>
              </w:rPr>
              <w:t>Fee</w:t>
            </w:r>
            <w:r w:rsidR="00C6298B" w:rsidRPr="00F350BD">
              <w:rPr>
                <w:b/>
                <w:sz w:val="22"/>
                <w:szCs w:val="22"/>
              </w:rPr>
              <w:t xml:space="preserve"> (Rs.) </w:t>
            </w:r>
          </w:p>
        </w:tc>
      </w:tr>
      <w:tr w:rsidR="00F34F83" w:rsidRPr="00DA4415" w14:paraId="400CE703" w14:textId="77777777" w:rsidTr="005862F9">
        <w:trPr>
          <w:trHeight w:val="1913"/>
        </w:trPr>
        <w:tc>
          <w:tcPr>
            <w:tcW w:w="659" w:type="dxa"/>
            <w:tcBorders>
              <w:top w:val="single" w:sz="4" w:space="0" w:color="000000"/>
              <w:left w:val="single" w:sz="4" w:space="0" w:color="000000"/>
              <w:bottom w:val="single" w:sz="4" w:space="0" w:color="000000"/>
              <w:right w:val="single" w:sz="4" w:space="0" w:color="000000"/>
            </w:tcBorders>
          </w:tcPr>
          <w:p w14:paraId="65B99D49" w14:textId="56286B1A" w:rsidR="00F34F83" w:rsidRPr="00F350BD" w:rsidRDefault="00E136D7" w:rsidP="003636FA">
            <w:pPr>
              <w:spacing w:after="0" w:line="259" w:lineRule="auto"/>
              <w:ind w:left="0" w:right="65" w:firstLine="0"/>
              <w:jc w:val="left"/>
              <w:rPr>
                <w:sz w:val="22"/>
                <w:szCs w:val="22"/>
              </w:rPr>
            </w:pPr>
            <w:r w:rsidRPr="00F350BD">
              <w:rPr>
                <w:sz w:val="22"/>
                <w:szCs w:val="22"/>
              </w:rPr>
              <w:t>“</w:t>
            </w:r>
            <w:r w:rsidR="00C6298B" w:rsidRPr="00F350BD">
              <w:rPr>
                <w:sz w:val="22"/>
                <w:szCs w:val="22"/>
              </w:rPr>
              <w:t xml:space="preserve">11. </w:t>
            </w:r>
          </w:p>
        </w:tc>
        <w:tc>
          <w:tcPr>
            <w:tcW w:w="6095" w:type="dxa"/>
            <w:tcBorders>
              <w:top w:val="single" w:sz="4" w:space="0" w:color="000000"/>
              <w:left w:val="single" w:sz="4" w:space="0" w:color="000000"/>
              <w:bottom w:val="single" w:sz="4" w:space="0" w:color="000000"/>
              <w:right w:val="single" w:sz="4" w:space="0" w:color="000000"/>
            </w:tcBorders>
          </w:tcPr>
          <w:p w14:paraId="2F11022A" w14:textId="42CD96AF" w:rsidR="00F34F83" w:rsidRPr="00F350BD" w:rsidRDefault="00C6298B" w:rsidP="003636FA">
            <w:pPr>
              <w:spacing w:after="0" w:line="273" w:lineRule="auto"/>
              <w:ind w:left="0" w:right="0" w:firstLine="0"/>
              <w:jc w:val="left"/>
              <w:rPr>
                <w:sz w:val="22"/>
                <w:szCs w:val="22"/>
              </w:rPr>
            </w:pPr>
            <w:r w:rsidRPr="00F350BD">
              <w:rPr>
                <w:sz w:val="22"/>
                <w:szCs w:val="22"/>
              </w:rPr>
              <w:t xml:space="preserve">Application fee for seeking authorisation under regulation </w:t>
            </w:r>
            <w:r w:rsidR="00AB4558" w:rsidRPr="00F350BD">
              <w:rPr>
                <w:sz w:val="22"/>
                <w:szCs w:val="22"/>
              </w:rPr>
              <w:t xml:space="preserve">8 </w:t>
            </w:r>
            <w:r w:rsidR="00594EAC" w:rsidRPr="00F350BD">
              <w:rPr>
                <w:sz w:val="22"/>
                <w:szCs w:val="22"/>
              </w:rPr>
              <w:t>or renewal of authorisation under regulation 1</w:t>
            </w:r>
            <w:r w:rsidR="00CE16C6" w:rsidRPr="00F350BD">
              <w:rPr>
                <w:sz w:val="22"/>
                <w:szCs w:val="22"/>
              </w:rPr>
              <w:t>2</w:t>
            </w:r>
            <w:r w:rsidR="00594EAC" w:rsidRPr="00F350BD">
              <w:rPr>
                <w:sz w:val="22"/>
                <w:szCs w:val="22"/>
              </w:rPr>
              <w:t xml:space="preserve"> </w:t>
            </w:r>
            <w:r w:rsidRPr="00F350BD">
              <w:rPr>
                <w:sz w:val="22"/>
                <w:szCs w:val="22"/>
              </w:rPr>
              <w:t>of the Petroleum and Natural Gas</w:t>
            </w:r>
            <w:r w:rsidR="005862F9" w:rsidRPr="00F350BD">
              <w:rPr>
                <w:sz w:val="22"/>
                <w:szCs w:val="22"/>
              </w:rPr>
              <w:t xml:space="preserve"> </w:t>
            </w:r>
            <w:r w:rsidRPr="00F350BD">
              <w:rPr>
                <w:sz w:val="22"/>
                <w:szCs w:val="22"/>
              </w:rPr>
              <w:t>Regulatory Board (Gas Exchange) Regulations, 2020:</w:t>
            </w:r>
          </w:p>
          <w:p w14:paraId="27163B97" w14:textId="3CF7F76F" w:rsidR="00F34F83" w:rsidRPr="00F350BD" w:rsidRDefault="00E136D7" w:rsidP="003636FA">
            <w:pPr>
              <w:spacing w:after="95" w:line="274" w:lineRule="auto"/>
              <w:ind w:left="0" w:right="62" w:firstLine="0"/>
              <w:jc w:val="left"/>
              <w:rPr>
                <w:sz w:val="22"/>
                <w:szCs w:val="22"/>
              </w:rPr>
            </w:pPr>
            <w:r w:rsidRPr="00F350BD">
              <w:rPr>
                <w:sz w:val="22"/>
                <w:szCs w:val="22"/>
              </w:rPr>
              <w:t>(</w:t>
            </w:r>
            <w:r w:rsidR="00C6298B" w:rsidRPr="00F350BD">
              <w:rPr>
                <w:sz w:val="22"/>
                <w:szCs w:val="22"/>
              </w:rPr>
              <w:t xml:space="preserve">a) for a Gas Exchange with Clearing Corporation; or </w:t>
            </w:r>
          </w:p>
          <w:p w14:paraId="1AF8C462" w14:textId="0FDC3F1C" w:rsidR="00C6298B" w:rsidRPr="00F350BD" w:rsidRDefault="00E136D7" w:rsidP="003636FA">
            <w:pPr>
              <w:spacing w:after="95" w:line="274" w:lineRule="auto"/>
              <w:ind w:left="0" w:right="62" w:firstLine="0"/>
              <w:jc w:val="left"/>
              <w:rPr>
                <w:sz w:val="22"/>
                <w:szCs w:val="22"/>
              </w:rPr>
            </w:pPr>
            <w:r w:rsidRPr="00F350BD">
              <w:rPr>
                <w:sz w:val="22"/>
                <w:szCs w:val="22"/>
              </w:rPr>
              <w:t>(</w:t>
            </w:r>
            <w:r w:rsidR="00594EAC" w:rsidRPr="00F350BD">
              <w:rPr>
                <w:sz w:val="22"/>
                <w:szCs w:val="22"/>
              </w:rPr>
              <w:t xml:space="preserve">b) </w:t>
            </w:r>
            <w:r w:rsidR="00C6298B" w:rsidRPr="00F350BD">
              <w:rPr>
                <w:sz w:val="22"/>
                <w:szCs w:val="22"/>
              </w:rPr>
              <w:t>for a Gas Exchange</w:t>
            </w:r>
            <w:r w:rsidR="00E14540" w:rsidRPr="00F350BD">
              <w:rPr>
                <w:sz w:val="22"/>
                <w:szCs w:val="22"/>
              </w:rPr>
              <w:t xml:space="preserve"> without Clearing Corporation</w:t>
            </w:r>
            <w:r w:rsidR="00C6298B" w:rsidRPr="00F350BD">
              <w:rPr>
                <w:sz w:val="22"/>
                <w:szCs w:val="22"/>
              </w:rPr>
              <w:t xml:space="preserve">; or </w:t>
            </w:r>
          </w:p>
          <w:p w14:paraId="3A8CD8CE" w14:textId="0F6DCA39" w:rsidR="00C6298B" w:rsidRPr="00F350BD" w:rsidRDefault="00E136D7" w:rsidP="003636FA">
            <w:pPr>
              <w:spacing w:after="95" w:line="274" w:lineRule="auto"/>
              <w:ind w:left="0" w:right="62" w:firstLine="0"/>
              <w:jc w:val="left"/>
              <w:rPr>
                <w:sz w:val="22"/>
                <w:szCs w:val="22"/>
              </w:rPr>
            </w:pPr>
            <w:r w:rsidRPr="00F350BD">
              <w:rPr>
                <w:sz w:val="22"/>
                <w:szCs w:val="22"/>
              </w:rPr>
              <w:t>(</w:t>
            </w:r>
            <w:r w:rsidR="00C6298B" w:rsidRPr="00F350BD">
              <w:rPr>
                <w:sz w:val="22"/>
                <w:szCs w:val="22"/>
              </w:rPr>
              <w:t>c) for a Clearing Corporation</w:t>
            </w:r>
          </w:p>
        </w:tc>
        <w:tc>
          <w:tcPr>
            <w:tcW w:w="1816" w:type="dxa"/>
            <w:tcBorders>
              <w:top w:val="single" w:sz="4" w:space="0" w:color="000000"/>
              <w:left w:val="single" w:sz="4" w:space="0" w:color="000000"/>
              <w:bottom w:val="single" w:sz="4" w:space="0" w:color="000000"/>
              <w:right w:val="single" w:sz="4" w:space="0" w:color="000000"/>
            </w:tcBorders>
          </w:tcPr>
          <w:p w14:paraId="48661E9E" w14:textId="77777777" w:rsidR="00F34F83" w:rsidRPr="00F350BD" w:rsidRDefault="00C6298B" w:rsidP="003636FA">
            <w:pPr>
              <w:spacing w:after="175" w:line="259" w:lineRule="auto"/>
              <w:ind w:left="0" w:right="5" w:firstLine="0"/>
              <w:jc w:val="left"/>
              <w:rPr>
                <w:sz w:val="22"/>
                <w:szCs w:val="22"/>
              </w:rPr>
            </w:pPr>
            <w:r w:rsidRPr="00F350BD">
              <w:rPr>
                <w:sz w:val="22"/>
                <w:szCs w:val="22"/>
              </w:rPr>
              <w:t xml:space="preserve"> </w:t>
            </w:r>
          </w:p>
          <w:p w14:paraId="10B16DB1" w14:textId="77777777" w:rsidR="00F34F83" w:rsidRPr="00F350BD" w:rsidRDefault="00C6298B" w:rsidP="003636FA">
            <w:pPr>
              <w:spacing w:after="177" w:line="259" w:lineRule="auto"/>
              <w:ind w:left="0" w:right="5" w:firstLine="0"/>
              <w:jc w:val="left"/>
              <w:rPr>
                <w:sz w:val="22"/>
                <w:szCs w:val="22"/>
              </w:rPr>
            </w:pPr>
            <w:r w:rsidRPr="00F350BD">
              <w:rPr>
                <w:sz w:val="22"/>
                <w:szCs w:val="22"/>
              </w:rPr>
              <w:t xml:space="preserve"> </w:t>
            </w:r>
          </w:p>
          <w:p w14:paraId="01C9CE0F" w14:textId="77777777" w:rsidR="00F34F83" w:rsidRPr="00F350BD" w:rsidRDefault="00C6298B" w:rsidP="003636FA">
            <w:pPr>
              <w:spacing w:after="175" w:line="259" w:lineRule="auto"/>
              <w:ind w:left="0" w:right="111" w:firstLine="0"/>
              <w:jc w:val="left"/>
              <w:rPr>
                <w:sz w:val="22"/>
                <w:szCs w:val="22"/>
              </w:rPr>
            </w:pPr>
            <w:r w:rsidRPr="00F350BD">
              <w:rPr>
                <w:sz w:val="22"/>
                <w:szCs w:val="22"/>
              </w:rPr>
              <w:t xml:space="preserve"> </w:t>
            </w:r>
          </w:p>
          <w:p w14:paraId="1CD3EF55" w14:textId="77777777" w:rsidR="005862F9" w:rsidRPr="00F350BD" w:rsidRDefault="005862F9" w:rsidP="003636FA">
            <w:pPr>
              <w:spacing w:after="0" w:line="259" w:lineRule="auto"/>
              <w:ind w:left="0" w:right="171" w:firstLine="0"/>
              <w:jc w:val="left"/>
              <w:rPr>
                <w:sz w:val="22"/>
                <w:szCs w:val="22"/>
              </w:rPr>
            </w:pPr>
          </w:p>
          <w:p w14:paraId="35F2D61D" w14:textId="713A0937" w:rsidR="00F34F83" w:rsidRPr="00F350BD" w:rsidRDefault="00C6298B" w:rsidP="003636FA">
            <w:pPr>
              <w:spacing w:after="0" w:line="259" w:lineRule="auto"/>
              <w:ind w:left="0" w:right="171" w:firstLine="0"/>
              <w:jc w:val="left"/>
              <w:rPr>
                <w:sz w:val="22"/>
                <w:szCs w:val="22"/>
              </w:rPr>
            </w:pPr>
            <w:r w:rsidRPr="00F350BD">
              <w:rPr>
                <w:sz w:val="22"/>
                <w:szCs w:val="22"/>
              </w:rPr>
              <w:t xml:space="preserve">3,00,000 </w:t>
            </w:r>
          </w:p>
        </w:tc>
      </w:tr>
    </w:tbl>
    <w:p w14:paraId="1B2D3E3B" w14:textId="4438CBC6" w:rsidR="00DA4415" w:rsidRPr="00F350BD" w:rsidRDefault="00DA4415" w:rsidP="00D408CF">
      <w:pPr>
        <w:ind w:left="851" w:right="34" w:firstLine="0"/>
        <w:jc w:val="right"/>
        <w:rPr>
          <w:sz w:val="22"/>
          <w:szCs w:val="22"/>
        </w:rPr>
      </w:pPr>
    </w:p>
    <w:p w14:paraId="51EE3961" w14:textId="77777777" w:rsidR="00DA4415" w:rsidRPr="00F350BD" w:rsidRDefault="00DA4415" w:rsidP="00D408CF">
      <w:pPr>
        <w:ind w:left="851" w:right="34" w:firstLine="0"/>
        <w:jc w:val="right"/>
        <w:rPr>
          <w:sz w:val="22"/>
          <w:szCs w:val="22"/>
        </w:rPr>
      </w:pPr>
    </w:p>
    <w:p w14:paraId="25EF939E" w14:textId="77777777" w:rsidR="00DA4415" w:rsidRPr="00F350BD" w:rsidRDefault="00DA4415" w:rsidP="00D408CF">
      <w:pPr>
        <w:ind w:left="851" w:right="34" w:firstLine="0"/>
        <w:jc w:val="right"/>
        <w:rPr>
          <w:sz w:val="22"/>
          <w:szCs w:val="22"/>
        </w:rPr>
      </w:pPr>
    </w:p>
    <w:p w14:paraId="1A781C66" w14:textId="36D7CAEE" w:rsidR="00E136D7" w:rsidRPr="00F350BD" w:rsidRDefault="00C6298B" w:rsidP="009D7B53">
      <w:pPr>
        <w:numPr>
          <w:ilvl w:val="0"/>
          <w:numId w:val="4"/>
        </w:numPr>
        <w:ind w:left="851" w:right="34" w:hanging="425"/>
        <w:rPr>
          <w:sz w:val="22"/>
          <w:szCs w:val="22"/>
        </w:rPr>
      </w:pPr>
      <w:r w:rsidRPr="00F350BD">
        <w:rPr>
          <w:sz w:val="22"/>
          <w:szCs w:val="22"/>
        </w:rPr>
        <w:t xml:space="preserve">in regulation </w:t>
      </w:r>
      <w:r w:rsidR="00DA4415" w:rsidRPr="00F350BD">
        <w:rPr>
          <w:sz w:val="22"/>
          <w:szCs w:val="22"/>
        </w:rPr>
        <w:t>4, -</w:t>
      </w:r>
      <w:r w:rsidR="00E136D7" w:rsidRPr="00F350BD">
        <w:rPr>
          <w:sz w:val="22"/>
          <w:szCs w:val="22"/>
        </w:rPr>
        <w:t>-</w:t>
      </w:r>
    </w:p>
    <w:p w14:paraId="5D34BC54" w14:textId="565CAF64" w:rsidR="00F34F83" w:rsidRPr="00F350BD" w:rsidRDefault="00E136D7" w:rsidP="009D7B53">
      <w:pPr>
        <w:ind w:left="1276" w:right="34" w:hanging="526"/>
        <w:rPr>
          <w:sz w:val="22"/>
          <w:szCs w:val="22"/>
        </w:rPr>
      </w:pPr>
      <w:r w:rsidRPr="00F350BD">
        <w:rPr>
          <w:sz w:val="22"/>
          <w:szCs w:val="22"/>
        </w:rPr>
        <w:t>(</w:t>
      </w:r>
      <w:proofErr w:type="spellStart"/>
      <w:r w:rsidR="00011248" w:rsidRPr="00F350BD">
        <w:rPr>
          <w:sz w:val="22"/>
          <w:szCs w:val="22"/>
        </w:rPr>
        <w:t>i</w:t>
      </w:r>
      <w:proofErr w:type="spellEnd"/>
      <w:r w:rsidRPr="00F350BD">
        <w:rPr>
          <w:sz w:val="22"/>
          <w:szCs w:val="22"/>
        </w:rPr>
        <w:t>)</w:t>
      </w:r>
      <w:r w:rsidR="00C6298B" w:rsidRPr="00F350BD">
        <w:rPr>
          <w:sz w:val="22"/>
          <w:szCs w:val="22"/>
        </w:rPr>
        <w:t xml:space="preserve"> </w:t>
      </w:r>
      <w:r w:rsidR="009D7B53" w:rsidRPr="00F350BD">
        <w:rPr>
          <w:sz w:val="22"/>
          <w:szCs w:val="22"/>
        </w:rPr>
        <w:t xml:space="preserve"> </w:t>
      </w:r>
      <w:r w:rsidR="00A01829" w:rsidRPr="00F350BD">
        <w:rPr>
          <w:sz w:val="22"/>
          <w:szCs w:val="22"/>
        </w:rPr>
        <w:t xml:space="preserve">after </w:t>
      </w:r>
      <w:r w:rsidRPr="00F350BD">
        <w:rPr>
          <w:sz w:val="22"/>
          <w:szCs w:val="22"/>
        </w:rPr>
        <w:t>sub-regulation (</w:t>
      </w:r>
      <w:r w:rsidR="00A01829" w:rsidRPr="00F350BD">
        <w:rPr>
          <w:sz w:val="22"/>
          <w:szCs w:val="22"/>
        </w:rPr>
        <w:t>2</w:t>
      </w:r>
      <w:r w:rsidRPr="00F350BD">
        <w:rPr>
          <w:sz w:val="22"/>
          <w:szCs w:val="22"/>
        </w:rPr>
        <w:t xml:space="preserve">), </w:t>
      </w:r>
      <w:r w:rsidR="00C6298B" w:rsidRPr="00F350BD">
        <w:rPr>
          <w:sz w:val="22"/>
          <w:szCs w:val="22"/>
        </w:rPr>
        <w:t xml:space="preserve">the following sub-regulation </w:t>
      </w:r>
      <w:r w:rsidRPr="00F350BD">
        <w:rPr>
          <w:sz w:val="22"/>
          <w:szCs w:val="22"/>
        </w:rPr>
        <w:t>shall</w:t>
      </w:r>
      <w:r w:rsidR="00C6298B" w:rsidRPr="00F350BD">
        <w:rPr>
          <w:sz w:val="22"/>
          <w:szCs w:val="22"/>
        </w:rPr>
        <w:t xml:space="preserve"> be inserted, namely: - </w:t>
      </w:r>
    </w:p>
    <w:p w14:paraId="4B29DD8C" w14:textId="1E4381E6" w:rsidR="00F34F83" w:rsidRPr="00F350BD" w:rsidRDefault="00C6298B" w:rsidP="009D7B53">
      <w:pPr>
        <w:spacing w:after="0"/>
        <w:ind w:left="1134" w:right="34" w:firstLine="0"/>
        <w:rPr>
          <w:sz w:val="22"/>
          <w:szCs w:val="22"/>
        </w:rPr>
      </w:pPr>
      <w:r w:rsidRPr="00F350BD">
        <w:rPr>
          <w:sz w:val="22"/>
          <w:szCs w:val="22"/>
        </w:rPr>
        <w:t>“</w:t>
      </w:r>
      <w:r w:rsidR="009D7B53" w:rsidRPr="00F350BD">
        <w:rPr>
          <w:sz w:val="22"/>
          <w:szCs w:val="22"/>
        </w:rPr>
        <w:t>(</w:t>
      </w:r>
      <w:r w:rsidRPr="00F350BD">
        <w:rPr>
          <w:sz w:val="22"/>
          <w:szCs w:val="22"/>
        </w:rPr>
        <w:t>2A</w:t>
      </w:r>
      <w:r w:rsidR="009D7B53" w:rsidRPr="00F350BD">
        <w:rPr>
          <w:sz w:val="22"/>
          <w:szCs w:val="22"/>
        </w:rPr>
        <w:t>)</w:t>
      </w:r>
      <w:r w:rsidRPr="00F350BD">
        <w:rPr>
          <w:sz w:val="22"/>
          <w:szCs w:val="22"/>
        </w:rPr>
        <w:t xml:space="preserve"> The following annual other charges </w:t>
      </w:r>
      <w:r w:rsidR="006A212F" w:rsidRPr="00F350BD">
        <w:rPr>
          <w:sz w:val="22"/>
          <w:szCs w:val="22"/>
        </w:rPr>
        <w:t xml:space="preserve">specified in the Table, </w:t>
      </w:r>
      <w:r w:rsidRPr="00F350BD">
        <w:rPr>
          <w:sz w:val="22"/>
          <w:szCs w:val="22"/>
        </w:rPr>
        <w:t>shall be payable by</w:t>
      </w:r>
      <w:r w:rsidR="00E136D7" w:rsidRPr="00F350BD">
        <w:rPr>
          <w:sz w:val="22"/>
          <w:szCs w:val="22"/>
        </w:rPr>
        <w:t xml:space="preserve"> </w:t>
      </w:r>
      <w:r w:rsidR="00AF68C0" w:rsidRPr="00F350BD">
        <w:rPr>
          <w:sz w:val="22"/>
          <w:szCs w:val="22"/>
        </w:rPr>
        <w:t>a</w:t>
      </w:r>
      <w:r w:rsidRPr="00F350BD">
        <w:rPr>
          <w:sz w:val="22"/>
          <w:szCs w:val="22"/>
        </w:rPr>
        <w:t xml:space="preserve"> gas exchange with clearing corporation, </w:t>
      </w:r>
      <w:r w:rsidR="00AF68C0" w:rsidRPr="00F350BD">
        <w:rPr>
          <w:sz w:val="22"/>
          <w:szCs w:val="22"/>
        </w:rPr>
        <w:t>a</w:t>
      </w:r>
      <w:r w:rsidRPr="00F350BD">
        <w:rPr>
          <w:sz w:val="22"/>
          <w:szCs w:val="22"/>
        </w:rPr>
        <w:t xml:space="preserve"> gas exchange </w:t>
      </w:r>
      <w:r w:rsidR="00B72931" w:rsidRPr="00F350BD">
        <w:rPr>
          <w:sz w:val="22"/>
          <w:szCs w:val="22"/>
        </w:rPr>
        <w:t xml:space="preserve">without clearing corporation </w:t>
      </w:r>
      <w:r w:rsidRPr="00F350BD">
        <w:rPr>
          <w:sz w:val="22"/>
          <w:szCs w:val="22"/>
        </w:rPr>
        <w:t xml:space="preserve">and </w:t>
      </w:r>
      <w:r w:rsidR="00AF68C0" w:rsidRPr="00F350BD">
        <w:rPr>
          <w:sz w:val="22"/>
          <w:szCs w:val="22"/>
        </w:rPr>
        <w:t>a</w:t>
      </w:r>
      <w:r w:rsidRPr="00F350BD">
        <w:rPr>
          <w:sz w:val="22"/>
          <w:szCs w:val="22"/>
        </w:rPr>
        <w:t xml:space="preserve"> clearing corporation </w:t>
      </w:r>
      <w:r w:rsidR="00D50449" w:rsidRPr="00F350BD">
        <w:rPr>
          <w:sz w:val="22"/>
          <w:szCs w:val="22"/>
        </w:rPr>
        <w:t xml:space="preserve">for </w:t>
      </w:r>
      <w:r w:rsidR="00827411" w:rsidRPr="00F350BD">
        <w:rPr>
          <w:sz w:val="22"/>
          <w:szCs w:val="22"/>
        </w:rPr>
        <w:t>every</w:t>
      </w:r>
      <w:r w:rsidR="00D50449" w:rsidRPr="00F350BD">
        <w:rPr>
          <w:sz w:val="22"/>
          <w:szCs w:val="22"/>
        </w:rPr>
        <w:t xml:space="preserve"> financial year </w:t>
      </w:r>
      <w:r w:rsidR="006A212F" w:rsidRPr="00F350BD">
        <w:rPr>
          <w:sz w:val="22"/>
          <w:szCs w:val="22"/>
        </w:rPr>
        <w:t xml:space="preserve">with effect </w:t>
      </w:r>
      <w:r w:rsidRPr="00F350BD">
        <w:rPr>
          <w:sz w:val="22"/>
          <w:szCs w:val="22"/>
        </w:rPr>
        <w:t xml:space="preserve">from the </w:t>
      </w:r>
      <w:r w:rsidR="00D50449" w:rsidRPr="00F350BD">
        <w:rPr>
          <w:sz w:val="22"/>
          <w:szCs w:val="22"/>
        </w:rPr>
        <w:t xml:space="preserve">date of authorisation </w:t>
      </w:r>
      <w:r w:rsidRPr="00F350BD">
        <w:rPr>
          <w:sz w:val="22"/>
          <w:szCs w:val="22"/>
        </w:rPr>
        <w:t>granted to it by the Board under Petroleum and Natural Gas Regulatory Board (Gas Exchange) Regulations, 2020</w:t>
      </w:r>
      <w:r w:rsidR="00195A3A" w:rsidRPr="00F350BD">
        <w:rPr>
          <w:sz w:val="22"/>
          <w:szCs w:val="22"/>
        </w:rPr>
        <w:t>, namely</w:t>
      </w:r>
      <w:r w:rsidRPr="00F350BD">
        <w:rPr>
          <w:sz w:val="22"/>
          <w:szCs w:val="22"/>
        </w:rPr>
        <w:t xml:space="preserve">:  </w:t>
      </w:r>
    </w:p>
    <w:p w14:paraId="70892B31" w14:textId="327E5FE9" w:rsidR="00D50449" w:rsidRPr="00F350BD" w:rsidRDefault="00195A3A" w:rsidP="00C42ADE">
      <w:pPr>
        <w:spacing w:after="0"/>
        <w:ind w:left="-5" w:right="34"/>
        <w:jc w:val="center"/>
        <w:rPr>
          <w:sz w:val="22"/>
          <w:szCs w:val="22"/>
        </w:rPr>
      </w:pPr>
      <w:r w:rsidRPr="00F350BD">
        <w:rPr>
          <w:sz w:val="22"/>
          <w:szCs w:val="22"/>
        </w:rPr>
        <w:t>Table</w:t>
      </w:r>
    </w:p>
    <w:tbl>
      <w:tblPr>
        <w:tblStyle w:val="TableGrid"/>
        <w:tblW w:w="8475" w:type="dxa"/>
        <w:tblInd w:w="725" w:type="dxa"/>
        <w:tblCellMar>
          <w:top w:w="14" w:type="dxa"/>
          <w:left w:w="108" w:type="dxa"/>
          <w:right w:w="48" w:type="dxa"/>
        </w:tblCellMar>
        <w:tblLook w:val="04A0" w:firstRow="1" w:lastRow="0" w:firstColumn="1" w:lastColumn="0" w:noHBand="0" w:noVBand="1"/>
      </w:tblPr>
      <w:tblGrid>
        <w:gridCol w:w="830"/>
        <w:gridCol w:w="4498"/>
        <w:gridCol w:w="3147"/>
      </w:tblGrid>
      <w:tr w:rsidR="00F34F83" w:rsidRPr="00DA4415" w14:paraId="01646276" w14:textId="77777777" w:rsidTr="00ED684A">
        <w:trPr>
          <w:trHeight w:val="528"/>
        </w:trPr>
        <w:tc>
          <w:tcPr>
            <w:tcW w:w="830" w:type="dxa"/>
            <w:tcBorders>
              <w:top w:val="single" w:sz="4" w:space="0" w:color="000000"/>
              <w:left w:val="single" w:sz="4" w:space="0" w:color="000000"/>
              <w:bottom w:val="single" w:sz="4" w:space="0" w:color="000000"/>
              <w:right w:val="single" w:sz="4" w:space="0" w:color="000000"/>
            </w:tcBorders>
          </w:tcPr>
          <w:p w14:paraId="20252771" w14:textId="77777777" w:rsidR="00F34F83" w:rsidRPr="00F350BD" w:rsidRDefault="00C6298B">
            <w:pPr>
              <w:spacing w:after="0" w:line="259" w:lineRule="auto"/>
              <w:ind w:left="14" w:right="0" w:firstLine="0"/>
              <w:jc w:val="left"/>
              <w:rPr>
                <w:sz w:val="22"/>
                <w:szCs w:val="22"/>
              </w:rPr>
            </w:pPr>
            <w:r w:rsidRPr="00F350BD">
              <w:rPr>
                <w:b/>
                <w:sz w:val="22"/>
                <w:szCs w:val="22"/>
              </w:rPr>
              <w:t xml:space="preserve">Sr. No. </w:t>
            </w:r>
          </w:p>
        </w:tc>
        <w:tc>
          <w:tcPr>
            <w:tcW w:w="4498" w:type="dxa"/>
            <w:tcBorders>
              <w:top w:val="single" w:sz="4" w:space="0" w:color="000000"/>
              <w:left w:val="single" w:sz="4" w:space="0" w:color="000000"/>
              <w:bottom w:val="single" w:sz="4" w:space="0" w:color="000000"/>
              <w:right w:val="single" w:sz="4" w:space="0" w:color="000000"/>
            </w:tcBorders>
          </w:tcPr>
          <w:p w14:paraId="4C66DCE3" w14:textId="77777777" w:rsidR="00F34F83" w:rsidRPr="00F350BD" w:rsidRDefault="00C6298B">
            <w:pPr>
              <w:spacing w:after="0" w:line="259" w:lineRule="auto"/>
              <w:ind w:left="0" w:right="62" w:firstLine="0"/>
              <w:jc w:val="center"/>
              <w:rPr>
                <w:sz w:val="22"/>
                <w:szCs w:val="22"/>
              </w:rPr>
            </w:pPr>
            <w:r w:rsidRPr="00F350BD">
              <w:rPr>
                <w:b/>
                <w:sz w:val="22"/>
                <w:szCs w:val="22"/>
              </w:rPr>
              <w:t xml:space="preserve">Particulars </w:t>
            </w:r>
          </w:p>
        </w:tc>
        <w:tc>
          <w:tcPr>
            <w:tcW w:w="3147" w:type="dxa"/>
            <w:tcBorders>
              <w:top w:val="single" w:sz="4" w:space="0" w:color="000000"/>
              <w:left w:val="single" w:sz="4" w:space="0" w:color="000000"/>
              <w:bottom w:val="single" w:sz="4" w:space="0" w:color="000000"/>
              <w:right w:val="single" w:sz="4" w:space="0" w:color="000000"/>
            </w:tcBorders>
          </w:tcPr>
          <w:p w14:paraId="2134CB35" w14:textId="77777777" w:rsidR="00F34F83" w:rsidRPr="00F350BD" w:rsidRDefault="00C6298B">
            <w:pPr>
              <w:spacing w:after="0" w:line="259" w:lineRule="auto"/>
              <w:ind w:left="0" w:right="64" w:firstLine="0"/>
              <w:jc w:val="center"/>
              <w:rPr>
                <w:sz w:val="22"/>
                <w:szCs w:val="22"/>
              </w:rPr>
            </w:pPr>
            <w:r w:rsidRPr="00F350BD">
              <w:rPr>
                <w:b/>
                <w:sz w:val="22"/>
                <w:szCs w:val="22"/>
              </w:rPr>
              <w:t xml:space="preserve">Amount (Rs.) </w:t>
            </w:r>
          </w:p>
        </w:tc>
      </w:tr>
      <w:tr w:rsidR="00F34F83" w:rsidRPr="00DA4415" w14:paraId="1554CF47" w14:textId="77777777" w:rsidTr="003636FA">
        <w:trPr>
          <w:trHeight w:val="665"/>
        </w:trPr>
        <w:tc>
          <w:tcPr>
            <w:tcW w:w="830" w:type="dxa"/>
            <w:vMerge w:val="restart"/>
            <w:tcBorders>
              <w:top w:val="single" w:sz="4" w:space="0" w:color="000000"/>
              <w:left w:val="single" w:sz="4" w:space="0" w:color="000000"/>
              <w:bottom w:val="single" w:sz="4" w:space="0" w:color="000000"/>
              <w:right w:val="single" w:sz="4" w:space="0" w:color="000000"/>
            </w:tcBorders>
          </w:tcPr>
          <w:p w14:paraId="0321F0CF" w14:textId="77777777" w:rsidR="00F34F83" w:rsidRPr="00F350BD" w:rsidRDefault="00C6298B">
            <w:pPr>
              <w:spacing w:after="0" w:line="259" w:lineRule="auto"/>
              <w:ind w:left="0" w:right="62" w:firstLine="0"/>
              <w:jc w:val="center"/>
              <w:rPr>
                <w:sz w:val="22"/>
                <w:szCs w:val="22"/>
              </w:rPr>
            </w:pPr>
            <w:r w:rsidRPr="00F350BD">
              <w:rPr>
                <w:sz w:val="22"/>
                <w:szCs w:val="22"/>
              </w:rPr>
              <w:t xml:space="preserve">1. </w:t>
            </w:r>
          </w:p>
        </w:tc>
        <w:tc>
          <w:tcPr>
            <w:tcW w:w="7645" w:type="dxa"/>
            <w:gridSpan w:val="2"/>
            <w:tcBorders>
              <w:top w:val="single" w:sz="4" w:space="0" w:color="000000"/>
              <w:left w:val="single" w:sz="4" w:space="0" w:color="000000"/>
              <w:bottom w:val="single" w:sz="4" w:space="0" w:color="000000"/>
              <w:right w:val="single" w:sz="4" w:space="0" w:color="000000"/>
            </w:tcBorders>
          </w:tcPr>
          <w:p w14:paraId="481FE18F" w14:textId="7E41E233" w:rsidR="00F34F83" w:rsidRPr="00F350BD" w:rsidRDefault="00C6298B" w:rsidP="003636FA">
            <w:pPr>
              <w:spacing w:after="2" w:line="273" w:lineRule="auto"/>
              <w:ind w:left="1" w:right="0" w:firstLine="0"/>
              <w:jc w:val="left"/>
              <w:rPr>
                <w:sz w:val="22"/>
                <w:szCs w:val="22"/>
              </w:rPr>
            </w:pPr>
            <w:r w:rsidRPr="00F350BD">
              <w:rPr>
                <w:sz w:val="22"/>
                <w:szCs w:val="22"/>
              </w:rPr>
              <w:t>Annual and other charges under regulation 1</w:t>
            </w:r>
            <w:r w:rsidR="00ED684A" w:rsidRPr="00F350BD">
              <w:rPr>
                <w:sz w:val="22"/>
                <w:szCs w:val="22"/>
              </w:rPr>
              <w:t>3</w:t>
            </w:r>
            <w:r w:rsidRPr="00F350BD">
              <w:rPr>
                <w:sz w:val="22"/>
                <w:szCs w:val="22"/>
              </w:rPr>
              <w:t xml:space="preserve"> of the Petroleum and Natural Gas Regulatory Board (Gas Exchange) Regulations, 2020: </w:t>
            </w:r>
          </w:p>
          <w:p w14:paraId="0A1CFE4F" w14:textId="77777777" w:rsidR="00F34F83" w:rsidRPr="00F350BD" w:rsidRDefault="00C6298B" w:rsidP="003636FA">
            <w:pPr>
              <w:spacing w:after="0" w:line="259" w:lineRule="auto"/>
              <w:ind w:left="1" w:right="0" w:firstLine="0"/>
              <w:jc w:val="left"/>
              <w:rPr>
                <w:sz w:val="22"/>
                <w:szCs w:val="22"/>
              </w:rPr>
            </w:pPr>
            <w:r w:rsidRPr="00F350BD">
              <w:rPr>
                <w:sz w:val="22"/>
                <w:szCs w:val="22"/>
              </w:rPr>
              <w:t xml:space="preserve"> </w:t>
            </w:r>
          </w:p>
        </w:tc>
      </w:tr>
      <w:tr w:rsidR="00F34F83" w:rsidRPr="00DA4415" w14:paraId="5EB82622" w14:textId="77777777" w:rsidTr="003636FA">
        <w:trPr>
          <w:trHeight w:val="1374"/>
        </w:trPr>
        <w:tc>
          <w:tcPr>
            <w:tcW w:w="830" w:type="dxa"/>
            <w:vMerge/>
            <w:tcBorders>
              <w:top w:val="nil"/>
              <w:left w:val="single" w:sz="4" w:space="0" w:color="000000"/>
              <w:bottom w:val="nil"/>
              <w:right w:val="single" w:sz="4" w:space="0" w:color="000000"/>
            </w:tcBorders>
          </w:tcPr>
          <w:p w14:paraId="71A0A192" w14:textId="77777777" w:rsidR="00F34F83" w:rsidRPr="00F350BD" w:rsidRDefault="00F34F83">
            <w:pPr>
              <w:spacing w:after="160" w:line="259" w:lineRule="auto"/>
              <w:ind w:left="0" w:right="0" w:firstLine="0"/>
              <w:jc w:val="left"/>
              <w:rPr>
                <w:sz w:val="22"/>
                <w:szCs w:val="22"/>
              </w:rPr>
            </w:pPr>
          </w:p>
        </w:tc>
        <w:tc>
          <w:tcPr>
            <w:tcW w:w="4498" w:type="dxa"/>
            <w:tcBorders>
              <w:top w:val="single" w:sz="4" w:space="0" w:color="000000"/>
              <w:left w:val="single" w:sz="4" w:space="0" w:color="000000"/>
              <w:bottom w:val="single" w:sz="4" w:space="0" w:color="000000"/>
              <w:right w:val="single" w:sz="4" w:space="0" w:color="000000"/>
            </w:tcBorders>
          </w:tcPr>
          <w:p w14:paraId="3A634285" w14:textId="28182B85" w:rsidR="00F34F83" w:rsidRPr="00F350BD" w:rsidRDefault="00B72931" w:rsidP="003636FA">
            <w:pPr>
              <w:spacing w:after="0" w:line="356" w:lineRule="auto"/>
              <w:ind w:left="0" w:right="0" w:firstLine="0"/>
              <w:jc w:val="left"/>
              <w:rPr>
                <w:sz w:val="22"/>
                <w:szCs w:val="22"/>
              </w:rPr>
            </w:pPr>
            <w:r w:rsidRPr="00F350BD">
              <w:rPr>
                <w:sz w:val="22"/>
                <w:szCs w:val="22"/>
              </w:rPr>
              <w:t xml:space="preserve">a) </w:t>
            </w:r>
            <w:r w:rsidR="00C6298B" w:rsidRPr="00F350BD">
              <w:rPr>
                <w:sz w:val="22"/>
                <w:szCs w:val="22"/>
              </w:rPr>
              <w:t xml:space="preserve">for a Gas Exchange with Clearing Corporation; or </w:t>
            </w:r>
          </w:p>
          <w:p w14:paraId="2EED25E1" w14:textId="31580FD6" w:rsidR="00F34F83" w:rsidRPr="00F350BD" w:rsidRDefault="00B72931" w:rsidP="003636FA">
            <w:pPr>
              <w:spacing w:after="0" w:line="259" w:lineRule="auto"/>
              <w:ind w:right="0"/>
              <w:jc w:val="left"/>
              <w:rPr>
                <w:sz w:val="22"/>
                <w:szCs w:val="22"/>
              </w:rPr>
            </w:pPr>
            <w:r w:rsidRPr="00F350BD">
              <w:rPr>
                <w:sz w:val="22"/>
                <w:szCs w:val="22"/>
              </w:rPr>
              <w:t xml:space="preserve">b) </w:t>
            </w:r>
            <w:r w:rsidR="00C6298B" w:rsidRPr="00F350BD">
              <w:rPr>
                <w:sz w:val="22"/>
                <w:szCs w:val="22"/>
              </w:rPr>
              <w:t>for a Gas Exchange</w:t>
            </w:r>
            <w:r w:rsidRPr="00F350BD">
              <w:rPr>
                <w:sz w:val="22"/>
                <w:szCs w:val="22"/>
              </w:rPr>
              <w:t xml:space="preserve"> without clearing corporation</w:t>
            </w:r>
            <w:r w:rsidR="00C6298B" w:rsidRPr="00F350BD">
              <w:rPr>
                <w:sz w:val="22"/>
                <w:szCs w:val="22"/>
              </w:rPr>
              <w:t xml:space="preserve">; </w:t>
            </w:r>
            <w:r w:rsidR="00594EAC" w:rsidRPr="00F350BD">
              <w:rPr>
                <w:sz w:val="22"/>
                <w:szCs w:val="22"/>
              </w:rPr>
              <w:t>or</w:t>
            </w:r>
            <w:r w:rsidR="00C6298B" w:rsidRPr="00F350BD">
              <w:rPr>
                <w:sz w:val="22"/>
                <w:szCs w:val="22"/>
              </w:rPr>
              <w:t xml:space="preserve"> </w:t>
            </w:r>
          </w:p>
        </w:tc>
        <w:tc>
          <w:tcPr>
            <w:tcW w:w="3147" w:type="dxa"/>
            <w:tcBorders>
              <w:top w:val="single" w:sz="4" w:space="0" w:color="000000"/>
              <w:left w:val="single" w:sz="4" w:space="0" w:color="000000"/>
              <w:bottom w:val="single" w:sz="4" w:space="0" w:color="000000"/>
              <w:right w:val="single" w:sz="4" w:space="0" w:color="000000"/>
            </w:tcBorders>
          </w:tcPr>
          <w:p w14:paraId="1387E064" w14:textId="183CA3EA" w:rsidR="00F34F83" w:rsidRPr="00F350BD" w:rsidRDefault="00C6298B" w:rsidP="003636FA">
            <w:pPr>
              <w:spacing w:after="0" w:line="238" w:lineRule="auto"/>
              <w:ind w:left="8" w:right="13" w:firstLine="0"/>
              <w:jc w:val="left"/>
              <w:rPr>
                <w:sz w:val="22"/>
                <w:szCs w:val="22"/>
              </w:rPr>
            </w:pPr>
            <w:r w:rsidRPr="00F350BD">
              <w:rPr>
                <w:sz w:val="22"/>
                <w:szCs w:val="22"/>
              </w:rPr>
              <w:t xml:space="preserve">Rs. 20,00,000 or 0.02% of the trade value in the exchange (excluding taxes) during the relevant financial year, whichever is higher  </w:t>
            </w:r>
          </w:p>
        </w:tc>
      </w:tr>
      <w:tr w:rsidR="00F34F83" w:rsidRPr="00DA4415" w14:paraId="469B6B0E" w14:textId="77777777" w:rsidTr="003636FA">
        <w:trPr>
          <w:trHeight w:val="1396"/>
        </w:trPr>
        <w:tc>
          <w:tcPr>
            <w:tcW w:w="830" w:type="dxa"/>
            <w:vMerge/>
            <w:tcBorders>
              <w:top w:val="nil"/>
              <w:left w:val="single" w:sz="4" w:space="0" w:color="000000"/>
              <w:bottom w:val="single" w:sz="4" w:space="0" w:color="000000"/>
              <w:right w:val="single" w:sz="4" w:space="0" w:color="000000"/>
            </w:tcBorders>
          </w:tcPr>
          <w:p w14:paraId="599BBCF8" w14:textId="77777777" w:rsidR="00F34F83" w:rsidRPr="00F350BD" w:rsidRDefault="00F34F83">
            <w:pPr>
              <w:spacing w:after="160" w:line="259" w:lineRule="auto"/>
              <w:ind w:left="0" w:right="0" w:firstLine="0"/>
              <w:jc w:val="left"/>
              <w:rPr>
                <w:sz w:val="22"/>
                <w:szCs w:val="22"/>
              </w:rPr>
            </w:pPr>
          </w:p>
        </w:tc>
        <w:tc>
          <w:tcPr>
            <w:tcW w:w="4498" w:type="dxa"/>
            <w:tcBorders>
              <w:top w:val="single" w:sz="4" w:space="0" w:color="000000"/>
              <w:left w:val="single" w:sz="4" w:space="0" w:color="000000"/>
              <w:bottom w:val="single" w:sz="4" w:space="0" w:color="000000"/>
              <w:right w:val="single" w:sz="4" w:space="0" w:color="000000"/>
            </w:tcBorders>
          </w:tcPr>
          <w:p w14:paraId="01BDD70D" w14:textId="7FD41E37" w:rsidR="00F34F83" w:rsidRPr="00F350BD" w:rsidRDefault="00C6298B" w:rsidP="003636FA">
            <w:pPr>
              <w:tabs>
                <w:tab w:val="center" w:pos="623"/>
                <w:tab w:val="center" w:pos="1112"/>
                <w:tab w:val="center" w:pos="1968"/>
                <w:tab w:val="right" w:pos="3651"/>
              </w:tabs>
              <w:spacing w:after="122" w:line="259" w:lineRule="auto"/>
              <w:ind w:left="0" w:right="0" w:firstLine="0"/>
              <w:jc w:val="left"/>
              <w:rPr>
                <w:sz w:val="22"/>
                <w:szCs w:val="22"/>
              </w:rPr>
            </w:pPr>
            <w:r w:rsidRPr="00F350BD">
              <w:rPr>
                <w:sz w:val="22"/>
                <w:szCs w:val="22"/>
              </w:rPr>
              <w:t xml:space="preserve">c) for </w:t>
            </w:r>
            <w:r w:rsidRPr="00F350BD">
              <w:rPr>
                <w:sz w:val="22"/>
                <w:szCs w:val="22"/>
              </w:rPr>
              <w:tab/>
              <w:t xml:space="preserve">a Clearing Corporation  </w:t>
            </w:r>
          </w:p>
        </w:tc>
        <w:tc>
          <w:tcPr>
            <w:tcW w:w="3147" w:type="dxa"/>
            <w:tcBorders>
              <w:top w:val="single" w:sz="4" w:space="0" w:color="000000"/>
              <w:left w:val="single" w:sz="4" w:space="0" w:color="000000"/>
              <w:bottom w:val="single" w:sz="4" w:space="0" w:color="000000"/>
              <w:right w:val="single" w:sz="4" w:space="0" w:color="000000"/>
            </w:tcBorders>
          </w:tcPr>
          <w:p w14:paraId="349EAE8F" w14:textId="66902437" w:rsidR="00F34F83" w:rsidRPr="00F350BD" w:rsidRDefault="00C6298B" w:rsidP="003636FA">
            <w:pPr>
              <w:spacing w:after="0" w:line="238" w:lineRule="auto"/>
              <w:ind w:left="0" w:right="0" w:firstLine="0"/>
              <w:jc w:val="left"/>
              <w:rPr>
                <w:sz w:val="22"/>
                <w:szCs w:val="22"/>
              </w:rPr>
            </w:pPr>
            <w:r w:rsidRPr="00F350BD">
              <w:rPr>
                <w:sz w:val="22"/>
                <w:szCs w:val="22"/>
              </w:rPr>
              <w:t>Rs. 20,00,000 or 0.02% of the clearing value in the clearing corporation (excluding taxes) during the relevant financial year, whichever is higher</w:t>
            </w:r>
          </w:p>
        </w:tc>
      </w:tr>
      <w:tr w:rsidR="00F34F83" w:rsidRPr="00DA4415" w14:paraId="6A0FF45C" w14:textId="77777777" w:rsidTr="00ED684A">
        <w:trPr>
          <w:trHeight w:val="1942"/>
        </w:trPr>
        <w:tc>
          <w:tcPr>
            <w:tcW w:w="8475" w:type="dxa"/>
            <w:gridSpan w:val="3"/>
            <w:tcBorders>
              <w:top w:val="single" w:sz="4" w:space="0" w:color="000000"/>
              <w:left w:val="single" w:sz="4" w:space="0" w:color="000000"/>
              <w:bottom w:val="single" w:sz="4" w:space="0" w:color="000000"/>
              <w:right w:val="single" w:sz="4" w:space="0" w:color="000000"/>
            </w:tcBorders>
          </w:tcPr>
          <w:p w14:paraId="5366E063" w14:textId="77777777" w:rsidR="00F34F83" w:rsidRPr="00F350BD" w:rsidRDefault="00C6298B">
            <w:pPr>
              <w:spacing w:after="0" w:line="259" w:lineRule="auto"/>
              <w:ind w:left="0" w:right="0" w:firstLine="0"/>
              <w:jc w:val="left"/>
              <w:rPr>
                <w:sz w:val="22"/>
                <w:szCs w:val="22"/>
              </w:rPr>
            </w:pPr>
            <w:r w:rsidRPr="00F350BD">
              <w:rPr>
                <w:sz w:val="22"/>
                <w:szCs w:val="22"/>
              </w:rPr>
              <w:t xml:space="preserve">Explanation:  </w:t>
            </w:r>
          </w:p>
          <w:p w14:paraId="2CBB09D0" w14:textId="5D451C86" w:rsidR="00F34F83" w:rsidRPr="00F350BD" w:rsidRDefault="00C6298B">
            <w:pPr>
              <w:numPr>
                <w:ilvl w:val="0"/>
                <w:numId w:val="8"/>
              </w:numPr>
              <w:spacing w:after="3" w:line="238" w:lineRule="auto"/>
              <w:ind w:right="65" w:hanging="360"/>
              <w:rPr>
                <w:sz w:val="22"/>
                <w:szCs w:val="22"/>
              </w:rPr>
            </w:pPr>
            <w:r w:rsidRPr="00F350BD">
              <w:rPr>
                <w:sz w:val="22"/>
                <w:szCs w:val="22"/>
              </w:rPr>
              <w:t xml:space="preserve">The trade value in the exchange shall be worked out by considering only one part of the transaction (either </w:t>
            </w:r>
            <w:r w:rsidR="00195A3A" w:rsidRPr="00F350BD">
              <w:rPr>
                <w:sz w:val="22"/>
                <w:szCs w:val="22"/>
              </w:rPr>
              <w:t xml:space="preserve">to </w:t>
            </w:r>
            <w:r w:rsidRPr="00F350BD">
              <w:rPr>
                <w:sz w:val="22"/>
                <w:szCs w:val="22"/>
              </w:rPr>
              <w:t xml:space="preserve">buy or </w:t>
            </w:r>
            <w:r w:rsidR="00195A3A" w:rsidRPr="00F350BD">
              <w:rPr>
                <w:sz w:val="22"/>
                <w:szCs w:val="22"/>
              </w:rPr>
              <w:t xml:space="preserve">to </w:t>
            </w:r>
            <w:r w:rsidRPr="00F350BD">
              <w:rPr>
                <w:sz w:val="22"/>
                <w:szCs w:val="22"/>
              </w:rPr>
              <w:t xml:space="preserve">sell) and not the sum of value of buy and sell transaction. </w:t>
            </w:r>
          </w:p>
          <w:p w14:paraId="1E742DDB" w14:textId="3C181350" w:rsidR="00F34F83" w:rsidRPr="00F350BD" w:rsidRDefault="00C6298B">
            <w:pPr>
              <w:numPr>
                <w:ilvl w:val="0"/>
                <w:numId w:val="8"/>
              </w:numPr>
              <w:spacing w:after="0" w:line="259" w:lineRule="auto"/>
              <w:ind w:right="65" w:hanging="360"/>
              <w:rPr>
                <w:sz w:val="22"/>
                <w:szCs w:val="22"/>
              </w:rPr>
            </w:pPr>
            <w:r w:rsidRPr="00F350BD">
              <w:rPr>
                <w:sz w:val="22"/>
                <w:szCs w:val="22"/>
              </w:rPr>
              <w:t xml:space="preserve">The clearing value in the case of clearing corporation shall be the amount cleared </w:t>
            </w:r>
            <w:r w:rsidR="00195A3A" w:rsidRPr="00F350BD">
              <w:rPr>
                <w:sz w:val="22"/>
                <w:szCs w:val="22"/>
              </w:rPr>
              <w:t>that is to say</w:t>
            </w:r>
            <w:r w:rsidRPr="00F350BD">
              <w:rPr>
                <w:sz w:val="22"/>
                <w:szCs w:val="22"/>
              </w:rPr>
              <w:t xml:space="preserve"> the amount received or the amount disbursed and not the sum of   amount received and amount disbursed.  </w:t>
            </w:r>
          </w:p>
        </w:tc>
      </w:tr>
    </w:tbl>
    <w:p w14:paraId="011E6A68" w14:textId="77777777" w:rsidR="00F34F83" w:rsidRPr="00F350BD" w:rsidRDefault="00C6298B">
      <w:pPr>
        <w:spacing w:after="0" w:line="259" w:lineRule="auto"/>
        <w:ind w:left="0" w:right="0" w:firstLine="0"/>
        <w:jc w:val="left"/>
        <w:rPr>
          <w:sz w:val="22"/>
          <w:szCs w:val="22"/>
        </w:rPr>
      </w:pPr>
      <w:r w:rsidRPr="00F350BD">
        <w:rPr>
          <w:sz w:val="22"/>
          <w:szCs w:val="22"/>
        </w:rPr>
        <w:t xml:space="preserve"> </w:t>
      </w:r>
    </w:p>
    <w:p w14:paraId="06E4CA5D" w14:textId="723C0B26" w:rsidR="00F34F83" w:rsidRPr="00F350BD" w:rsidRDefault="00011248" w:rsidP="009D7B53">
      <w:pPr>
        <w:spacing w:after="246"/>
        <w:ind w:left="324" w:right="34" w:firstLine="385"/>
        <w:rPr>
          <w:sz w:val="22"/>
          <w:szCs w:val="22"/>
        </w:rPr>
      </w:pPr>
      <w:r w:rsidRPr="00F350BD">
        <w:rPr>
          <w:sz w:val="22"/>
          <w:szCs w:val="22"/>
        </w:rPr>
        <w:t xml:space="preserve">(ii) for </w:t>
      </w:r>
      <w:r w:rsidR="00C6298B" w:rsidRPr="00F350BD">
        <w:rPr>
          <w:sz w:val="22"/>
          <w:szCs w:val="22"/>
        </w:rPr>
        <w:t xml:space="preserve">sub-regulation (7), the following </w:t>
      </w:r>
      <w:r w:rsidRPr="00F350BD">
        <w:rPr>
          <w:sz w:val="22"/>
          <w:szCs w:val="22"/>
        </w:rPr>
        <w:t xml:space="preserve">sub-regulation </w:t>
      </w:r>
      <w:r w:rsidR="00C6298B" w:rsidRPr="00F350BD">
        <w:rPr>
          <w:sz w:val="22"/>
          <w:szCs w:val="22"/>
        </w:rPr>
        <w:t xml:space="preserve">shall be substituted, namely: - </w:t>
      </w:r>
    </w:p>
    <w:p w14:paraId="5444195D" w14:textId="00EC2A03" w:rsidR="00AD6E41" w:rsidRPr="00F350BD" w:rsidRDefault="00C6298B" w:rsidP="009D7B53">
      <w:pPr>
        <w:ind w:left="1134" w:right="34" w:firstLine="0"/>
        <w:rPr>
          <w:sz w:val="22"/>
          <w:szCs w:val="22"/>
        </w:rPr>
      </w:pPr>
      <w:r w:rsidRPr="00F350BD">
        <w:rPr>
          <w:sz w:val="22"/>
          <w:szCs w:val="22"/>
        </w:rPr>
        <w:t>“</w:t>
      </w:r>
      <w:r w:rsidR="00011248" w:rsidRPr="00F350BD">
        <w:rPr>
          <w:sz w:val="22"/>
          <w:szCs w:val="22"/>
        </w:rPr>
        <w:t xml:space="preserve">(7) </w:t>
      </w:r>
      <w:r w:rsidRPr="00F350BD">
        <w:rPr>
          <w:sz w:val="22"/>
          <w:szCs w:val="22"/>
        </w:rPr>
        <w:t>Any entity liable to pay Other Charges or late payment surcharge in accordance with sub-regulation (2)</w:t>
      </w:r>
      <w:r w:rsidR="00011248" w:rsidRPr="00F350BD">
        <w:rPr>
          <w:sz w:val="22"/>
          <w:szCs w:val="22"/>
        </w:rPr>
        <w:t xml:space="preserve"> and sub-regulations (3) to (6)</w:t>
      </w:r>
      <w:r w:rsidRPr="00F350BD">
        <w:rPr>
          <w:sz w:val="22"/>
          <w:szCs w:val="22"/>
        </w:rPr>
        <w:t>, shall submit details of remittance in Form-I attached to these regulations, within seven days of making such payment</w:t>
      </w:r>
      <w:r w:rsidR="00011248" w:rsidRPr="00F350BD">
        <w:rPr>
          <w:sz w:val="22"/>
          <w:szCs w:val="22"/>
        </w:rPr>
        <w:t xml:space="preserve"> and a</w:t>
      </w:r>
      <w:r w:rsidR="00395C80" w:rsidRPr="00F350BD">
        <w:rPr>
          <w:sz w:val="22"/>
          <w:szCs w:val="22"/>
        </w:rPr>
        <w:t>ny entity liable to pay O</w:t>
      </w:r>
      <w:r w:rsidRPr="00F350BD">
        <w:rPr>
          <w:sz w:val="22"/>
          <w:szCs w:val="22"/>
        </w:rPr>
        <w:t xml:space="preserve">ther </w:t>
      </w:r>
      <w:r w:rsidR="00395C80" w:rsidRPr="00F350BD">
        <w:rPr>
          <w:sz w:val="22"/>
          <w:szCs w:val="22"/>
        </w:rPr>
        <w:t>C</w:t>
      </w:r>
      <w:r w:rsidRPr="00F350BD">
        <w:rPr>
          <w:sz w:val="22"/>
          <w:szCs w:val="22"/>
        </w:rPr>
        <w:t xml:space="preserve">harges </w:t>
      </w:r>
      <w:r w:rsidR="001A22C0" w:rsidRPr="00F350BD">
        <w:rPr>
          <w:sz w:val="22"/>
          <w:szCs w:val="22"/>
        </w:rPr>
        <w:t xml:space="preserve">or late payment </w:t>
      </w:r>
      <w:r w:rsidR="00395C80" w:rsidRPr="00F350BD">
        <w:rPr>
          <w:sz w:val="22"/>
          <w:szCs w:val="22"/>
        </w:rPr>
        <w:t xml:space="preserve">in accordance with </w:t>
      </w:r>
      <w:r w:rsidRPr="00F350BD">
        <w:rPr>
          <w:sz w:val="22"/>
          <w:szCs w:val="22"/>
        </w:rPr>
        <w:t>sub-regulation 2A</w:t>
      </w:r>
      <w:r w:rsidR="00CA55EE" w:rsidRPr="00F350BD">
        <w:rPr>
          <w:sz w:val="22"/>
          <w:szCs w:val="22"/>
        </w:rPr>
        <w:t xml:space="preserve"> </w:t>
      </w:r>
      <w:r w:rsidR="00011248" w:rsidRPr="00F350BD">
        <w:rPr>
          <w:sz w:val="22"/>
          <w:szCs w:val="22"/>
        </w:rPr>
        <w:t>and sub-regulations (3) to (6)</w:t>
      </w:r>
      <w:r w:rsidRPr="00F350BD">
        <w:rPr>
          <w:sz w:val="22"/>
          <w:szCs w:val="22"/>
        </w:rPr>
        <w:t xml:space="preserve">, </w:t>
      </w:r>
      <w:r w:rsidR="00395C80" w:rsidRPr="00F350BD">
        <w:rPr>
          <w:sz w:val="22"/>
          <w:szCs w:val="22"/>
        </w:rPr>
        <w:t xml:space="preserve">shall submit </w:t>
      </w:r>
      <w:r w:rsidRPr="00F350BD">
        <w:rPr>
          <w:sz w:val="22"/>
          <w:szCs w:val="22"/>
        </w:rPr>
        <w:t xml:space="preserve">details </w:t>
      </w:r>
      <w:r w:rsidR="00395C80" w:rsidRPr="00F350BD">
        <w:rPr>
          <w:sz w:val="22"/>
          <w:szCs w:val="22"/>
        </w:rPr>
        <w:t xml:space="preserve">of remittance </w:t>
      </w:r>
      <w:r w:rsidRPr="00F350BD">
        <w:rPr>
          <w:sz w:val="22"/>
          <w:szCs w:val="22"/>
        </w:rPr>
        <w:t>in Form-II attached to these regulations</w:t>
      </w:r>
      <w:r w:rsidR="00395C80" w:rsidRPr="00F350BD">
        <w:rPr>
          <w:sz w:val="22"/>
          <w:szCs w:val="22"/>
        </w:rPr>
        <w:t>,</w:t>
      </w:r>
      <w:r w:rsidRPr="00F350BD">
        <w:rPr>
          <w:sz w:val="22"/>
          <w:szCs w:val="22"/>
        </w:rPr>
        <w:t xml:space="preserve"> within seven days of making such payment.”</w:t>
      </w:r>
      <w:r w:rsidR="00BC28C6" w:rsidRPr="00F350BD">
        <w:rPr>
          <w:sz w:val="22"/>
          <w:szCs w:val="22"/>
        </w:rPr>
        <w:t>;</w:t>
      </w:r>
    </w:p>
    <w:p w14:paraId="1233F634" w14:textId="65F4F155" w:rsidR="00F34F83" w:rsidRPr="00F350BD" w:rsidRDefault="00C6298B" w:rsidP="004A6EF3">
      <w:pPr>
        <w:ind w:left="851" w:right="34" w:hanging="425"/>
        <w:rPr>
          <w:sz w:val="22"/>
          <w:szCs w:val="22"/>
        </w:rPr>
      </w:pPr>
      <w:r w:rsidRPr="00F350BD">
        <w:rPr>
          <w:sz w:val="22"/>
          <w:szCs w:val="22"/>
        </w:rPr>
        <w:t>(</w:t>
      </w:r>
      <w:r w:rsidR="00BC28C6" w:rsidRPr="00F350BD">
        <w:rPr>
          <w:sz w:val="22"/>
          <w:szCs w:val="22"/>
        </w:rPr>
        <w:t>d</w:t>
      </w:r>
      <w:r w:rsidRPr="00F350BD">
        <w:rPr>
          <w:sz w:val="22"/>
          <w:szCs w:val="22"/>
        </w:rPr>
        <w:t xml:space="preserve">) </w:t>
      </w:r>
      <w:r w:rsidR="004A6EF3" w:rsidRPr="00F350BD">
        <w:rPr>
          <w:sz w:val="22"/>
          <w:szCs w:val="22"/>
        </w:rPr>
        <w:t xml:space="preserve"> </w:t>
      </w:r>
      <w:r w:rsidRPr="00F350BD">
        <w:rPr>
          <w:sz w:val="22"/>
          <w:szCs w:val="22"/>
        </w:rPr>
        <w:t>after Form -</w:t>
      </w:r>
      <w:r w:rsidR="00ED684A" w:rsidRPr="00F350BD">
        <w:rPr>
          <w:sz w:val="22"/>
          <w:szCs w:val="22"/>
        </w:rPr>
        <w:t xml:space="preserve"> </w:t>
      </w:r>
      <w:r w:rsidRPr="00F350BD">
        <w:rPr>
          <w:sz w:val="22"/>
          <w:szCs w:val="22"/>
        </w:rPr>
        <w:t xml:space="preserve">I, </w:t>
      </w:r>
      <w:r w:rsidR="006A212F" w:rsidRPr="00F350BD">
        <w:rPr>
          <w:sz w:val="22"/>
          <w:szCs w:val="22"/>
        </w:rPr>
        <w:t xml:space="preserve">the </w:t>
      </w:r>
      <w:r w:rsidRPr="00F350BD">
        <w:rPr>
          <w:sz w:val="22"/>
          <w:szCs w:val="22"/>
        </w:rPr>
        <w:t xml:space="preserve">following Form - II shall be inserted, namely: </w:t>
      </w:r>
    </w:p>
    <w:p w14:paraId="7C78BA29" w14:textId="77777777" w:rsidR="001A22C0" w:rsidRPr="00F350BD" w:rsidRDefault="00C6298B">
      <w:pPr>
        <w:pStyle w:val="Heading1"/>
        <w:spacing w:after="257"/>
        <w:ind w:left="219" w:right="214"/>
        <w:rPr>
          <w:sz w:val="22"/>
          <w:szCs w:val="22"/>
        </w:rPr>
      </w:pPr>
      <w:r w:rsidRPr="00F350BD">
        <w:rPr>
          <w:b w:val="0"/>
          <w:sz w:val="22"/>
          <w:szCs w:val="22"/>
        </w:rPr>
        <w:t>“</w:t>
      </w:r>
      <w:r w:rsidRPr="00F350BD">
        <w:rPr>
          <w:sz w:val="22"/>
          <w:szCs w:val="22"/>
        </w:rPr>
        <w:t xml:space="preserve">Form – II </w:t>
      </w:r>
    </w:p>
    <w:p w14:paraId="6E78F281" w14:textId="06E43959" w:rsidR="00F34F83" w:rsidRPr="00F350BD" w:rsidRDefault="00C6298B">
      <w:pPr>
        <w:pStyle w:val="Heading1"/>
        <w:spacing w:after="257"/>
        <w:ind w:left="219" w:right="214"/>
        <w:rPr>
          <w:sz w:val="22"/>
          <w:szCs w:val="22"/>
        </w:rPr>
      </w:pPr>
      <w:r w:rsidRPr="00F350BD">
        <w:rPr>
          <w:sz w:val="22"/>
          <w:szCs w:val="22"/>
        </w:rPr>
        <w:t xml:space="preserve">[See regulation 4(7)] </w:t>
      </w:r>
    </w:p>
    <w:p w14:paraId="0595E86A" w14:textId="6AFDCED9" w:rsidR="00DA4415" w:rsidRDefault="00C6298B">
      <w:pPr>
        <w:spacing w:after="0"/>
        <w:ind w:left="293" w:right="34"/>
        <w:rPr>
          <w:sz w:val="22"/>
          <w:szCs w:val="22"/>
        </w:rPr>
      </w:pPr>
      <w:r w:rsidRPr="00F350BD">
        <w:rPr>
          <w:sz w:val="22"/>
          <w:szCs w:val="22"/>
        </w:rPr>
        <w:t xml:space="preserve">Details of annual other charges payable and paid as per Table </w:t>
      </w:r>
      <w:r w:rsidR="00BC28C6" w:rsidRPr="00F350BD">
        <w:rPr>
          <w:sz w:val="22"/>
          <w:szCs w:val="22"/>
        </w:rPr>
        <w:t>specified in sub-regulation (2</w:t>
      </w:r>
      <w:r w:rsidR="00E461C2" w:rsidRPr="00F350BD">
        <w:rPr>
          <w:sz w:val="22"/>
          <w:szCs w:val="22"/>
        </w:rPr>
        <w:t>A</w:t>
      </w:r>
      <w:r w:rsidR="00BC28C6" w:rsidRPr="00F350BD">
        <w:rPr>
          <w:sz w:val="22"/>
          <w:szCs w:val="22"/>
        </w:rPr>
        <w:t xml:space="preserve">) of </w:t>
      </w:r>
      <w:r w:rsidRPr="00F350BD">
        <w:rPr>
          <w:sz w:val="22"/>
          <w:szCs w:val="22"/>
        </w:rPr>
        <w:t>regulation 4 for the financial year 20</w:t>
      </w:r>
      <w:r w:rsidR="00B74BEF">
        <w:rPr>
          <w:sz w:val="22"/>
          <w:szCs w:val="22"/>
        </w:rPr>
        <w:t>_</w:t>
      </w:r>
    </w:p>
    <w:p w14:paraId="59CA9CED" w14:textId="77777777" w:rsidR="00DA4415" w:rsidRPr="00F350BD" w:rsidRDefault="00DA4415">
      <w:pPr>
        <w:spacing w:after="0"/>
        <w:ind w:left="293" w:right="34"/>
        <w:rPr>
          <w:sz w:val="22"/>
          <w:szCs w:val="22"/>
        </w:rPr>
      </w:pPr>
    </w:p>
    <w:tbl>
      <w:tblPr>
        <w:tblStyle w:val="TableGrid"/>
        <w:tblW w:w="8776" w:type="dxa"/>
        <w:tblInd w:w="288" w:type="dxa"/>
        <w:tblCellMar>
          <w:top w:w="14" w:type="dxa"/>
          <w:left w:w="108" w:type="dxa"/>
          <w:right w:w="58" w:type="dxa"/>
        </w:tblCellMar>
        <w:tblLook w:val="04A0" w:firstRow="1" w:lastRow="0" w:firstColumn="1" w:lastColumn="0" w:noHBand="0" w:noVBand="1"/>
      </w:tblPr>
      <w:tblGrid>
        <w:gridCol w:w="2067"/>
        <w:gridCol w:w="1751"/>
        <w:gridCol w:w="1850"/>
        <w:gridCol w:w="1552"/>
        <w:gridCol w:w="1556"/>
      </w:tblGrid>
      <w:tr w:rsidR="00D50449" w:rsidRPr="00DA4415" w14:paraId="5A35D7EC" w14:textId="77777777" w:rsidTr="00ED684A">
        <w:trPr>
          <w:trHeight w:val="286"/>
        </w:trPr>
        <w:tc>
          <w:tcPr>
            <w:tcW w:w="5668" w:type="dxa"/>
            <w:gridSpan w:val="3"/>
            <w:tcBorders>
              <w:top w:val="single" w:sz="4" w:space="0" w:color="000000"/>
              <w:left w:val="single" w:sz="4" w:space="0" w:color="000000"/>
              <w:bottom w:val="single" w:sz="4" w:space="0" w:color="000000"/>
              <w:right w:val="nil"/>
            </w:tcBorders>
          </w:tcPr>
          <w:p w14:paraId="57D43368" w14:textId="5B6A007B" w:rsidR="00D50449" w:rsidRPr="00F350BD" w:rsidRDefault="00D50449">
            <w:pPr>
              <w:spacing w:after="0" w:line="259" w:lineRule="auto"/>
              <w:ind w:left="0" w:right="0" w:firstLine="0"/>
              <w:jc w:val="left"/>
              <w:rPr>
                <w:sz w:val="22"/>
                <w:szCs w:val="22"/>
              </w:rPr>
            </w:pPr>
            <w:r w:rsidRPr="00F350BD">
              <w:rPr>
                <w:sz w:val="22"/>
                <w:szCs w:val="22"/>
              </w:rPr>
              <w:t>Name of Gas Exchange</w:t>
            </w:r>
            <w:r w:rsidR="00BC28C6" w:rsidRPr="00F350BD">
              <w:rPr>
                <w:sz w:val="22"/>
                <w:szCs w:val="22"/>
              </w:rPr>
              <w:t xml:space="preserve"> or</w:t>
            </w:r>
            <w:r w:rsidR="00C9404F" w:rsidRPr="00F350BD">
              <w:rPr>
                <w:sz w:val="22"/>
                <w:szCs w:val="22"/>
              </w:rPr>
              <w:t xml:space="preserve"> </w:t>
            </w:r>
            <w:r w:rsidRPr="00F350BD">
              <w:rPr>
                <w:sz w:val="22"/>
                <w:szCs w:val="22"/>
              </w:rPr>
              <w:t xml:space="preserve">Clearing Corporation </w:t>
            </w:r>
          </w:p>
        </w:tc>
        <w:tc>
          <w:tcPr>
            <w:tcW w:w="1552" w:type="dxa"/>
            <w:tcBorders>
              <w:top w:val="single" w:sz="4" w:space="0" w:color="000000"/>
              <w:left w:val="nil"/>
              <w:bottom w:val="single" w:sz="4" w:space="0" w:color="000000"/>
              <w:right w:val="nil"/>
            </w:tcBorders>
          </w:tcPr>
          <w:p w14:paraId="6BC591B9" w14:textId="77777777" w:rsidR="00D50449" w:rsidRPr="00F350BD" w:rsidRDefault="00D50449">
            <w:pPr>
              <w:spacing w:after="160" w:line="259" w:lineRule="auto"/>
              <w:ind w:left="0" w:right="0" w:firstLine="0"/>
              <w:jc w:val="left"/>
              <w:rPr>
                <w:sz w:val="22"/>
                <w:szCs w:val="22"/>
              </w:rPr>
            </w:pPr>
          </w:p>
        </w:tc>
        <w:tc>
          <w:tcPr>
            <w:tcW w:w="1556" w:type="dxa"/>
            <w:tcBorders>
              <w:top w:val="single" w:sz="4" w:space="0" w:color="000000"/>
              <w:left w:val="nil"/>
              <w:bottom w:val="single" w:sz="4" w:space="0" w:color="000000"/>
              <w:right w:val="single" w:sz="4" w:space="0" w:color="000000"/>
            </w:tcBorders>
          </w:tcPr>
          <w:p w14:paraId="02C4FD4B" w14:textId="0DF42F41" w:rsidR="00D50449" w:rsidRPr="00F350BD" w:rsidRDefault="00D50449">
            <w:pPr>
              <w:spacing w:after="160" w:line="259" w:lineRule="auto"/>
              <w:ind w:left="0" w:right="0" w:firstLine="0"/>
              <w:jc w:val="left"/>
              <w:rPr>
                <w:sz w:val="22"/>
                <w:szCs w:val="22"/>
              </w:rPr>
            </w:pPr>
          </w:p>
        </w:tc>
      </w:tr>
      <w:tr w:rsidR="00D50449" w:rsidRPr="00DA4415" w14:paraId="7F18F7A4" w14:textId="77777777" w:rsidTr="00ED684A">
        <w:trPr>
          <w:trHeight w:val="286"/>
        </w:trPr>
        <w:tc>
          <w:tcPr>
            <w:tcW w:w="5668" w:type="dxa"/>
            <w:gridSpan w:val="3"/>
            <w:tcBorders>
              <w:top w:val="single" w:sz="4" w:space="0" w:color="000000"/>
              <w:left w:val="single" w:sz="4" w:space="0" w:color="000000"/>
              <w:bottom w:val="single" w:sz="4" w:space="0" w:color="000000"/>
              <w:right w:val="nil"/>
            </w:tcBorders>
          </w:tcPr>
          <w:p w14:paraId="5EA962FC" w14:textId="2628DCB2" w:rsidR="00D50449" w:rsidRPr="00F350BD" w:rsidRDefault="00D50449">
            <w:pPr>
              <w:spacing w:after="0" w:line="259" w:lineRule="auto"/>
              <w:ind w:left="0" w:right="0" w:firstLine="0"/>
              <w:jc w:val="left"/>
              <w:rPr>
                <w:sz w:val="22"/>
                <w:szCs w:val="22"/>
              </w:rPr>
            </w:pPr>
            <w:r w:rsidRPr="00F350BD">
              <w:rPr>
                <w:sz w:val="22"/>
                <w:szCs w:val="22"/>
              </w:rPr>
              <w:t>Address of the Gas Exchange</w:t>
            </w:r>
            <w:r w:rsidR="00BC28C6" w:rsidRPr="00F350BD">
              <w:rPr>
                <w:sz w:val="22"/>
                <w:szCs w:val="22"/>
              </w:rPr>
              <w:t xml:space="preserve"> or </w:t>
            </w:r>
            <w:r w:rsidRPr="00F350BD">
              <w:rPr>
                <w:sz w:val="22"/>
                <w:szCs w:val="22"/>
              </w:rPr>
              <w:t xml:space="preserve">Clearing Corporation </w:t>
            </w:r>
          </w:p>
        </w:tc>
        <w:tc>
          <w:tcPr>
            <w:tcW w:w="1552" w:type="dxa"/>
            <w:tcBorders>
              <w:top w:val="single" w:sz="4" w:space="0" w:color="000000"/>
              <w:left w:val="nil"/>
              <w:bottom w:val="single" w:sz="4" w:space="0" w:color="000000"/>
              <w:right w:val="nil"/>
            </w:tcBorders>
          </w:tcPr>
          <w:p w14:paraId="2CA68609" w14:textId="77777777" w:rsidR="00D50449" w:rsidRPr="00F350BD" w:rsidRDefault="00D50449">
            <w:pPr>
              <w:spacing w:after="160" w:line="259" w:lineRule="auto"/>
              <w:ind w:left="0" w:right="0" w:firstLine="0"/>
              <w:jc w:val="left"/>
              <w:rPr>
                <w:sz w:val="22"/>
                <w:szCs w:val="22"/>
              </w:rPr>
            </w:pPr>
          </w:p>
        </w:tc>
        <w:tc>
          <w:tcPr>
            <w:tcW w:w="1556" w:type="dxa"/>
            <w:tcBorders>
              <w:top w:val="single" w:sz="4" w:space="0" w:color="000000"/>
              <w:left w:val="nil"/>
              <w:bottom w:val="single" w:sz="4" w:space="0" w:color="000000"/>
              <w:right w:val="single" w:sz="4" w:space="0" w:color="000000"/>
            </w:tcBorders>
          </w:tcPr>
          <w:p w14:paraId="23473DC2" w14:textId="1574607E" w:rsidR="00D50449" w:rsidRPr="00F350BD" w:rsidRDefault="00D50449">
            <w:pPr>
              <w:spacing w:after="160" w:line="259" w:lineRule="auto"/>
              <w:ind w:left="0" w:right="0" w:firstLine="0"/>
              <w:jc w:val="left"/>
              <w:rPr>
                <w:sz w:val="22"/>
                <w:szCs w:val="22"/>
              </w:rPr>
            </w:pPr>
          </w:p>
        </w:tc>
      </w:tr>
      <w:tr w:rsidR="00D50449" w:rsidRPr="00DA4415" w14:paraId="4221AEEF" w14:textId="77777777" w:rsidTr="00A31BC8">
        <w:trPr>
          <w:trHeight w:val="1114"/>
        </w:trPr>
        <w:tc>
          <w:tcPr>
            <w:tcW w:w="2067" w:type="dxa"/>
            <w:tcBorders>
              <w:top w:val="single" w:sz="4" w:space="0" w:color="000000"/>
              <w:left w:val="single" w:sz="4" w:space="0" w:color="000000"/>
              <w:bottom w:val="single" w:sz="4" w:space="0" w:color="000000"/>
              <w:right w:val="single" w:sz="4" w:space="0" w:color="000000"/>
            </w:tcBorders>
          </w:tcPr>
          <w:p w14:paraId="7BE1494F" w14:textId="7215DA73" w:rsidR="00D50449" w:rsidRPr="00F350BD" w:rsidRDefault="00D50449">
            <w:pPr>
              <w:spacing w:after="0" w:line="259" w:lineRule="auto"/>
              <w:ind w:left="0" w:right="31" w:firstLine="0"/>
              <w:jc w:val="left"/>
              <w:rPr>
                <w:sz w:val="22"/>
                <w:szCs w:val="22"/>
              </w:rPr>
            </w:pPr>
            <w:r w:rsidRPr="00F350BD">
              <w:rPr>
                <w:sz w:val="22"/>
                <w:szCs w:val="22"/>
              </w:rPr>
              <w:t>Financial year of grant of authorization</w:t>
            </w:r>
            <w:r w:rsidR="00BC28C6" w:rsidRPr="00F350BD">
              <w:rPr>
                <w:sz w:val="22"/>
                <w:szCs w:val="22"/>
              </w:rPr>
              <w:t xml:space="preserve"> or</w:t>
            </w:r>
            <w:r w:rsidR="004A6EF3" w:rsidRPr="00F350BD">
              <w:rPr>
                <w:sz w:val="22"/>
                <w:szCs w:val="22"/>
              </w:rPr>
              <w:t xml:space="preserve"> </w:t>
            </w:r>
            <w:r w:rsidRPr="00F350BD">
              <w:rPr>
                <w:sz w:val="22"/>
                <w:szCs w:val="22"/>
              </w:rPr>
              <w:t>Financial Year</w:t>
            </w:r>
          </w:p>
        </w:tc>
        <w:tc>
          <w:tcPr>
            <w:tcW w:w="1751" w:type="dxa"/>
            <w:tcBorders>
              <w:top w:val="single" w:sz="4" w:space="0" w:color="000000"/>
              <w:left w:val="single" w:sz="4" w:space="0" w:color="000000"/>
              <w:bottom w:val="single" w:sz="4" w:space="0" w:color="000000"/>
              <w:right w:val="single" w:sz="4" w:space="0" w:color="000000"/>
            </w:tcBorders>
          </w:tcPr>
          <w:p w14:paraId="0CC649EC" w14:textId="7FC2BA93" w:rsidR="00D50449" w:rsidRPr="00F350BD" w:rsidRDefault="00D50449">
            <w:pPr>
              <w:spacing w:after="0" w:line="259" w:lineRule="auto"/>
              <w:ind w:left="0" w:right="109" w:firstLine="0"/>
              <w:jc w:val="center"/>
              <w:rPr>
                <w:sz w:val="22"/>
                <w:szCs w:val="22"/>
              </w:rPr>
            </w:pPr>
            <w:r w:rsidRPr="00F350BD">
              <w:rPr>
                <w:sz w:val="22"/>
                <w:szCs w:val="22"/>
              </w:rPr>
              <w:t>Trade Value</w:t>
            </w:r>
            <w:r w:rsidR="00BC28C6" w:rsidRPr="00F350BD">
              <w:rPr>
                <w:sz w:val="22"/>
                <w:szCs w:val="22"/>
              </w:rPr>
              <w:t xml:space="preserve"> or</w:t>
            </w:r>
            <w:r w:rsidRPr="00F350BD">
              <w:rPr>
                <w:sz w:val="22"/>
                <w:szCs w:val="22"/>
              </w:rPr>
              <w:t xml:space="preserve"> </w:t>
            </w:r>
          </w:p>
          <w:p w14:paraId="2E0E9DB4" w14:textId="24DE8AB5" w:rsidR="00D50449" w:rsidRPr="00F350BD" w:rsidRDefault="00D50449">
            <w:pPr>
              <w:spacing w:after="0" w:line="259" w:lineRule="auto"/>
              <w:ind w:left="31" w:right="0" w:firstLine="50"/>
              <w:jc w:val="left"/>
              <w:rPr>
                <w:sz w:val="22"/>
                <w:szCs w:val="22"/>
              </w:rPr>
            </w:pPr>
            <w:r w:rsidRPr="00F350BD">
              <w:rPr>
                <w:sz w:val="22"/>
                <w:szCs w:val="22"/>
              </w:rPr>
              <w:t xml:space="preserve">Clearing value of the </w:t>
            </w:r>
            <w:r w:rsidR="00ED684A" w:rsidRPr="00F350BD">
              <w:rPr>
                <w:sz w:val="22"/>
                <w:szCs w:val="22"/>
              </w:rPr>
              <w:t xml:space="preserve">relevant </w:t>
            </w:r>
            <w:r w:rsidRPr="00F350BD">
              <w:rPr>
                <w:sz w:val="22"/>
                <w:szCs w:val="22"/>
              </w:rPr>
              <w:t xml:space="preserve">Financial year </w:t>
            </w:r>
          </w:p>
        </w:tc>
        <w:tc>
          <w:tcPr>
            <w:tcW w:w="1850" w:type="dxa"/>
            <w:tcBorders>
              <w:top w:val="single" w:sz="4" w:space="0" w:color="000000"/>
              <w:left w:val="single" w:sz="4" w:space="0" w:color="000000"/>
              <w:bottom w:val="single" w:sz="4" w:space="0" w:color="000000"/>
              <w:right w:val="single" w:sz="4" w:space="0" w:color="000000"/>
            </w:tcBorders>
          </w:tcPr>
          <w:p w14:paraId="01C4DA5C" w14:textId="1817A0AA" w:rsidR="00D50449" w:rsidRPr="00F350BD" w:rsidRDefault="00D50449">
            <w:pPr>
              <w:spacing w:after="0" w:line="259" w:lineRule="auto"/>
              <w:ind w:left="0" w:right="0" w:firstLine="0"/>
              <w:jc w:val="center"/>
              <w:rPr>
                <w:sz w:val="22"/>
                <w:szCs w:val="22"/>
              </w:rPr>
            </w:pPr>
            <w:r w:rsidRPr="00F350BD">
              <w:rPr>
                <w:sz w:val="22"/>
                <w:szCs w:val="22"/>
              </w:rPr>
              <w:t xml:space="preserve">Annual Other Charges payable  </w:t>
            </w:r>
          </w:p>
        </w:tc>
        <w:tc>
          <w:tcPr>
            <w:tcW w:w="1552" w:type="dxa"/>
            <w:tcBorders>
              <w:top w:val="single" w:sz="4" w:space="0" w:color="000000"/>
              <w:left w:val="single" w:sz="4" w:space="0" w:color="000000"/>
              <w:bottom w:val="single" w:sz="4" w:space="0" w:color="000000"/>
              <w:right w:val="single" w:sz="4" w:space="0" w:color="000000"/>
            </w:tcBorders>
          </w:tcPr>
          <w:p w14:paraId="017383A3" w14:textId="05A3ADDF" w:rsidR="00D50449" w:rsidRPr="00F350BD" w:rsidRDefault="00D50449">
            <w:pPr>
              <w:spacing w:after="0" w:line="259" w:lineRule="auto"/>
              <w:ind w:left="204" w:right="0" w:firstLine="0"/>
              <w:jc w:val="center"/>
              <w:rPr>
                <w:sz w:val="22"/>
                <w:szCs w:val="22"/>
              </w:rPr>
            </w:pPr>
            <w:r w:rsidRPr="00F350BD">
              <w:rPr>
                <w:sz w:val="22"/>
                <w:szCs w:val="22"/>
              </w:rPr>
              <w:t xml:space="preserve">Annual Other Charges paid  </w:t>
            </w:r>
          </w:p>
        </w:tc>
        <w:tc>
          <w:tcPr>
            <w:tcW w:w="1556" w:type="dxa"/>
            <w:tcBorders>
              <w:top w:val="single" w:sz="4" w:space="0" w:color="000000"/>
              <w:left w:val="single" w:sz="4" w:space="0" w:color="000000"/>
              <w:bottom w:val="single" w:sz="4" w:space="0" w:color="000000"/>
              <w:right w:val="single" w:sz="4" w:space="0" w:color="000000"/>
            </w:tcBorders>
          </w:tcPr>
          <w:p w14:paraId="77F9B856" w14:textId="5D7B6223" w:rsidR="00D50449" w:rsidRPr="00F350BD" w:rsidRDefault="00D50449">
            <w:pPr>
              <w:spacing w:after="0" w:line="259" w:lineRule="auto"/>
              <w:ind w:left="204" w:right="0" w:firstLine="0"/>
              <w:jc w:val="center"/>
              <w:rPr>
                <w:sz w:val="22"/>
                <w:szCs w:val="22"/>
              </w:rPr>
            </w:pPr>
            <w:r w:rsidRPr="00F350BD">
              <w:rPr>
                <w:sz w:val="22"/>
                <w:szCs w:val="22"/>
              </w:rPr>
              <w:t>Mode of payment</w:t>
            </w:r>
          </w:p>
        </w:tc>
      </w:tr>
      <w:tr w:rsidR="00D50449" w:rsidRPr="00DA4415" w14:paraId="7487ADD1" w14:textId="77777777" w:rsidTr="00A31BC8">
        <w:trPr>
          <w:trHeight w:val="525"/>
        </w:trPr>
        <w:tc>
          <w:tcPr>
            <w:tcW w:w="2067" w:type="dxa"/>
            <w:tcBorders>
              <w:top w:val="single" w:sz="4" w:space="0" w:color="000000"/>
              <w:left w:val="single" w:sz="4" w:space="0" w:color="000000"/>
              <w:bottom w:val="single" w:sz="4" w:space="0" w:color="000000"/>
              <w:right w:val="single" w:sz="4" w:space="0" w:color="000000"/>
            </w:tcBorders>
          </w:tcPr>
          <w:p w14:paraId="2140E2C3" w14:textId="77777777" w:rsidR="00D50449" w:rsidRPr="00F350BD" w:rsidRDefault="00D50449">
            <w:pPr>
              <w:spacing w:after="0" w:line="259" w:lineRule="auto"/>
              <w:ind w:left="0" w:right="0" w:firstLine="0"/>
              <w:jc w:val="left"/>
              <w:rPr>
                <w:sz w:val="22"/>
                <w:szCs w:val="22"/>
              </w:rPr>
            </w:pPr>
            <w:r w:rsidRPr="00F350BD">
              <w:rPr>
                <w:sz w:val="22"/>
                <w:szCs w:val="22"/>
              </w:rPr>
              <w:t xml:space="preserve"> </w:t>
            </w:r>
          </w:p>
        </w:tc>
        <w:tc>
          <w:tcPr>
            <w:tcW w:w="1751" w:type="dxa"/>
            <w:tcBorders>
              <w:top w:val="single" w:sz="4" w:space="0" w:color="000000"/>
              <w:left w:val="single" w:sz="4" w:space="0" w:color="000000"/>
              <w:bottom w:val="single" w:sz="4" w:space="0" w:color="000000"/>
              <w:right w:val="single" w:sz="4" w:space="0" w:color="000000"/>
            </w:tcBorders>
          </w:tcPr>
          <w:p w14:paraId="514827CF" w14:textId="77777777" w:rsidR="00D50449" w:rsidRPr="00F350BD" w:rsidRDefault="00D50449">
            <w:pPr>
              <w:spacing w:after="0" w:line="259" w:lineRule="auto"/>
              <w:ind w:left="0" w:right="45" w:firstLine="0"/>
              <w:jc w:val="center"/>
              <w:rPr>
                <w:sz w:val="22"/>
                <w:szCs w:val="22"/>
              </w:rPr>
            </w:pPr>
            <w:r w:rsidRPr="00F350BD">
              <w:rPr>
                <w:sz w:val="22"/>
                <w:szCs w:val="22"/>
              </w:rP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582C094A" w14:textId="77777777" w:rsidR="00D50449" w:rsidRPr="00F350BD" w:rsidRDefault="00D50449">
            <w:pPr>
              <w:spacing w:after="0" w:line="259" w:lineRule="auto"/>
              <w:ind w:right="0" w:firstLine="0"/>
              <w:jc w:val="center"/>
              <w:rPr>
                <w:sz w:val="22"/>
                <w:szCs w:val="22"/>
              </w:rPr>
            </w:pPr>
            <w:r w:rsidRPr="00F350BD">
              <w:rPr>
                <w:sz w:val="22"/>
                <w:szCs w:val="22"/>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22233A9B" w14:textId="77777777" w:rsidR="00D50449" w:rsidRPr="00F350BD" w:rsidRDefault="00D50449">
            <w:pPr>
              <w:spacing w:after="0" w:line="259" w:lineRule="auto"/>
              <w:ind w:left="267" w:right="0" w:firstLine="0"/>
              <w:jc w:val="center"/>
              <w:rPr>
                <w:sz w:val="22"/>
                <w:szCs w:val="22"/>
              </w:rPr>
            </w:pPr>
          </w:p>
        </w:tc>
        <w:tc>
          <w:tcPr>
            <w:tcW w:w="1556" w:type="dxa"/>
            <w:tcBorders>
              <w:top w:val="single" w:sz="4" w:space="0" w:color="000000"/>
              <w:left w:val="single" w:sz="4" w:space="0" w:color="000000"/>
              <w:bottom w:val="single" w:sz="4" w:space="0" w:color="000000"/>
              <w:right w:val="single" w:sz="4" w:space="0" w:color="000000"/>
            </w:tcBorders>
          </w:tcPr>
          <w:p w14:paraId="2C6D3499" w14:textId="478DB345" w:rsidR="00D50449" w:rsidRPr="00F350BD" w:rsidRDefault="00D50449">
            <w:pPr>
              <w:spacing w:after="0" w:line="259" w:lineRule="auto"/>
              <w:ind w:left="267" w:right="0" w:firstLine="0"/>
              <w:jc w:val="center"/>
              <w:rPr>
                <w:sz w:val="22"/>
                <w:szCs w:val="22"/>
              </w:rPr>
            </w:pPr>
            <w:r w:rsidRPr="00F350BD">
              <w:rPr>
                <w:sz w:val="22"/>
                <w:szCs w:val="22"/>
              </w:rPr>
              <w:t xml:space="preserve"> </w:t>
            </w:r>
          </w:p>
        </w:tc>
      </w:tr>
      <w:tr w:rsidR="00D50449" w:rsidRPr="00DA4415" w14:paraId="5E52ED2F" w14:textId="77777777" w:rsidTr="00ED684A">
        <w:trPr>
          <w:trHeight w:val="2494"/>
        </w:trPr>
        <w:tc>
          <w:tcPr>
            <w:tcW w:w="2067" w:type="dxa"/>
            <w:tcBorders>
              <w:top w:val="single" w:sz="4" w:space="0" w:color="000000"/>
              <w:left w:val="single" w:sz="4" w:space="0" w:color="000000"/>
              <w:bottom w:val="single" w:sz="4" w:space="0" w:color="000000"/>
              <w:right w:val="single" w:sz="4" w:space="0" w:color="000000"/>
            </w:tcBorders>
          </w:tcPr>
          <w:p w14:paraId="1CC0ED68" w14:textId="77777777" w:rsidR="00AF68C0" w:rsidRPr="00F350BD" w:rsidRDefault="00AF68C0">
            <w:pPr>
              <w:spacing w:after="0" w:line="238" w:lineRule="auto"/>
              <w:ind w:left="0" w:right="0" w:firstLine="0"/>
              <w:jc w:val="left"/>
              <w:rPr>
                <w:sz w:val="22"/>
                <w:szCs w:val="22"/>
              </w:rPr>
            </w:pPr>
            <w:r w:rsidRPr="00F350BD">
              <w:rPr>
                <w:sz w:val="22"/>
                <w:szCs w:val="22"/>
              </w:rPr>
              <w:t>Details of remittance:</w:t>
            </w:r>
          </w:p>
          <w:p w14:paraId="404E097C" w14:textId="48DE8C80" w:rsidR="004A6EF3" w:rsidRPr="00F350BD" w:rsidRDefault="00D50449">
            <w:pPr>
              <w:spacing w:after="0" w:line="238" w:lineRule="auto"/>
              <w:ind w:left="0" w:right="0" w:firstLine="0"/>
              <w:jc w:val="left"/>
              <w:rPr>
                <w:sz w:val="22"/>
                <w:szCs w:val="22"/>
              </w:rPr>
            </w:pPr>
            <w:r w:rsidRPr="00F350BD">
              <w:rPr>
                <w:sz w:val="22"/>
                <w:szCs w:val="22"/>
              </w:rPr>
              <w:t xml:space="preserve">Demand Draft or pay order No. </w:t>
            </w:r>
            <w:r w:rsidR="00BC28C6" w:rsidRPr="00F350BD">
              <w:rPr>
                <w:sz w:val="22"/>
                <w:szCs w:val="22"/>
              </w:rPr>
              <w:t>and</w:t>
            </w:r>
            <w:r w:rsidRPr="00F350BD">
              <w:rPr>
                <w:sz w:val="22"/>
                <w:szCs w:val="22"/>
              </w:rPr>
              <w:t xml:space="preserve"> date</w:t>
            </w:r>
            <w:r w:rsidR="00BC28C6" w:rsidRPr="00F350BD">
              <w:rPr>
                <w:sz w:val="22"/>
                <w:szCs w:val="22"/>
              </w:rPr>
              <w:t xml:space="preserve"> or</w:t>
            </w:r>
            <w:r w:rsidRPr="00F350BD">
              <w:rPr>
                <w:sz w:val="22"/>
                <w:szCs w:val="22"/>
              </w:rPr>
              <w:t xml:space="preserve"> </w:t>
            </w:r>
          </w:p>
          <w:p w14:paraId="14241BC5" w14:textId="4C71AEDC" w:rsidR="00D50449" w:rsidRPr="00F350BD" w:rsidRDefault="00D50449">
            <w:pPr>
              <w:spacing w:after="0" w:line="238" w:lineRule="auto"/>
              <w:ind w:left="0" w:right="0" w:firstLine="0"/>
              <w:jc w:val="left"/>
              <w:rPr>
                <w:sz w:val="22"/>
                <w:szCs w:val="22"/>
              </w:rPr>
            </w:pPr>
            <w:r w:rsidRPr="00F350BD">
              <w:rPr>
                <w:sz w:val="22"/>
                <w:szCs w:val="22"/>
              </w:rPr>
              <w:t xml:space="preserve">Ref No. </w:t>
            </w:r>
            <w:r w:rsidR="00ED684A" w:rsidRPr="00F350BD">
              <w:rPr>
                <w:sz w:val="22"/>
                <w:szCs w:val="22"/>
              </w:rPr>
              <w:t xml:space="preserve">and date </w:t>
            </w:r>
            <w:r w:rsidRPr="00F350BD">
              <w:rPr>
                <w:sz w:val="22"/>
                <w:szCs w:val="22"/>
              </w:rPr>
              <w:t xml:space="preserve">of </w:t>
            </w:r>
          </w:p>
          <w:p w14:paraId="63A1F566" w14:textId="59C951B0" w:rsidR="00D50449" w:rsidRPr="00F350BD" w:rsidRDefault="00D50449">
            <w:pPr>
              <w:spacing w:after="0" w:line="259" w:lineRule="auto"/>
              <w:ind w:left="0" w:right="0" w:firstLine="0"/>
              <w:jc w:val="left"/>
              <w:rPr>
                <w:sz w:val="22"/>
                <w:szCs w:val="22"/>
              </w:rPr>
            </w:pPr>
            <w:r w:rsidRPr="00F350BD">
              <w:rPr>
                <w:sz w:val="22"/>
                <w:szCs w:val="22"/>
              </w:rPr>
              <w:t xml:space="preserve">Electronic payment, Bank and branch at which payable and Amount </w:t>
            </w:r>
            <w:r w:rsidR="00ED684A" w:rsidRPr="00F350BD">
              <w:rPr>
                <w:sz w:val="22"/>
                <w:szCs w:val="22"/>
              </w:rPr>
              <w:t>in Rs.</w:t>
            </w:r>
          </w:p>
        </w:tc>
        <w:tc>
          <w:tcPr>
            <w:tcW w:w="3601" w:type="dxa"/>
            <w:gridSpan w:val="2"/>
            <w:tcBorders>
              <w:top w:val="single" w:sz="4" w:space="0" w:color="000000"/>
              <w:left w:val="single" w:sz="4" w:space="0" w:color="000000"/>
              <w:bottom w:val="single" w:sz="4" w:space="0" w:color="000000"/>
              <w:right w:val="nil"/>
            </w:tcBorders>
          </w:tcPr>
          <w:p w14:paraId="57503979" w14:textId="77777777" w:rsidR="00D50449" w:rsidRPr="00F350BD" w:rsidRDefault="00D50449">
            <w:pPr>
              <w:spacing w:after="0" w:line="259" w:lineRule="auto"/>
              <w:ind w:left="2345" w:right="0" w:firstLine="0"/>
              <w:jc w:val="center"/>
              <w:rPr>
                <w:sz w:val="22"/>
                <w:szCs w:val="22"/>
              </w:rPr>
            </w:pPr>
            <w:r w:rsidRPr="00F350BD">
              <w:rPr>
                <w:sz w:val="22"/>
                <w:szCs w:val="22"/>
              </w:rPr>
              <w:t xml:space="preserve"> </w:t>
            </w:r>
          </w:p>
        </w:tc>
        <w:tc>
          <w:tcPr>
            <w:tcW w:w="1552" w:type="dxa"/>
            <w:tcBorders>
              <w:top w:val="single" w:sz="4" w:space="0" w:color="000000"/>
              <w:left w:val="nil"/>
              <w:bottom w:val="single" w:sz="4" w:space="0" w:color="000000"/>
              <w:right w:val="nil"/>
            </w:tcBorders>
          </w:tcPr>
          <w:p w14:paraId="65786A4E" w14:textId="77777777" w:rsidR="00D50449" w:rsidRPr="00F350BD" w:rsidRDefault="00D50449">
            <w:pPr>
              <w:spacing w:after="160" w:line="259" w:lineRule="auto"/>
              <w:ind w:left="0" w:right="0" w:firstLine="0"/>
              <w:jc w:val="left"/>
              <w:rPr>
                <w:sz w:val="22"/>
                <w:szCs w:val="22"/>
              </w:rPr>
            </w:pPr>
          </w:p>
        </w:tc>
        <w:tc>
          <w:tcPr>
            <w:tcW w:w="1556" w:type="dxa"/>
            <w:tcBorders>
              <w:top w:val="single" w:sz="4" w:space="0" w:color="000000"/>
              <w:left w:val="nil"/>
              <w:bottom w:val="single" w:sz="4" w:space="0" w:color="000000"/>
              <w:right w:val="single" w:sz="4" w:space="0" w:color="000000"/>
            </w:tcBorders>
          </w:tcPr>
          <w:p w14:paraId="3BB9B49E" w14:textId="3C8C17C3" w:rsidR="00D50449" w:rsidRPr="00F350BD" w:rsidRDefault="00D50449">
            <w:pPr>
              <w:spacing w:after="160" w:line="259" w:lineRule="auto"/>
              <w:ind w:left="0" w:right="0" w:firstLine="0"/>
              <w:jc w:val="left"/>
              <w:rPr>
                <w:sz w:val="22"/>
                <w:szCs w:val="22"/>
              </w:rPr>
            </w:pPr>
          </w:p>
        </w:tc>
      </w:tr>
    </w:tbl>
    <w:p w14:paraId="7C326A70" w14:textId="661A87A4" w:rsidR="001A22C0" w:rsidRPr="00F350BD" w:rsidRDefault="00571DC3" w:rsidP="00571DC3">
      <w:pPr>
        <w:tabs>
          <w:tab w:val="center" w:pos="720"/>
          <w:tab w:val="center" w:pos="1440"/>
          <w:tab w:val="center" w:pos="2161"/>
          <w:tab w:val="center" w:pos="5628"/>
        </w:tabs>
        <w:ind w:left="-15" w:right="0" w:firstLine="0"/>
        <w:jc w:val="center"/>
        <w:rPr>
          <w:sz w:val="22"/>
          <w:szCs w:val="22"/>
        </w:rPr>
      </w:pPr>
      <w:r w:rsidRPr="00F350BD">
        <w:rPr>
          <w:sz w:val="22"/>
          <w:szCs w:val="22"/>
        </w:rPr>
        <w:tab/>
      </w:r>
      <w:r w:rsidRPr="00F350BD">
        <w:rPr>
          <w:sz w:val="22"/>
          <w:szCs w:val="22"/>
        </w:rPr>
        <w:tab/>
      </w:r>
      <w:r w:rsidRPr="00F350BD">
        <w:rPr>
          <w:sz w:val="22"/>
          <w:szCs w:val="22"/>
        </w:rPr>
        <w:tab/>
      </w:r>
      <w:r w:rsidRPr="00F350BD">
        <w:rPr>
          <w:sz w:val="22"/>
          <w:szCs w:val="22"/>
        </w:rPr>
        <w:tab/>
      </w:r>
      <w:r w:rsidRPr="00F350BD">
        <w:rPr>
          <w:sz w:val="22"/>
          <w:szCs w:val="22"/>
        </w:rPr>
        <w:tab/>
      </w:r>
      <w:r w:rsidRPr="00F350BD">
        <w:rPr>
          <w:sz w:val="22"/>
          <w:szCs w:val="22"/>
        </w:rPr>
        <w:tab/>
      </w:r>
      <w:r w:rsidRPr="00F350BD">
        <w:rPr>
          <w:sz w:val="22"/>
          <w:szCs w:val="22"/>
        </w:rPr>
        <w:tab/>
      </w:r>
      <w:r w:rsidRPr="00F350BD">
        <w:rPr>
          <w:sz w:val="22"/>
          <w:szCs w:val="22"/>
        </w:rPr>
        <w:tab/>
      </w:r>
      <w:r w:rsidRPr="00F350BD">
        <w:rPr>
          <w:sz w:val="22"/>
          <w:szCs w:val="22"/>
        </w:rPr>
        <w:tab/>
        <w:t>”.</w:t>
      </w:r>
    </w:p>
    <w:p w14:paraId="3FAD9D8E" w14:textId="0C1B79A4" w:rsidR="00BC28C6" w:rsidRPr="00F350BD" w:rsidRDefault="00BC28C6" w:rsidP="00A31BC8">
      <w:pPr>
        <w:spacing w:after="0" w:line="259" w:lineRule="auto"/>
        <w:ind w:left="11" w:right="34" w:hanging="11"/>
        <w:jc w:val="right"/>
        <w:rPr>
          <w:sz w:val="22"/>
          <w:szCs w:val="22"/>
        </w:rPr>
      </w:pPr>
      <w:r w:rsidRPr="00F350BD">
        <w:rPr>
          <w:sz w:val="22"/>
          <w:szCs w:val="22"/>
        </w:rPr>
        <w:t>[</w:t>
      </w:r>
      <w:r w:rsidR="00C6298B" w:rsidRPr="00F350BD">
        <w:rPr>
          <w:sz w:val="22"/>
          <w:szCs w:val="22"/>
        </w:rPr>
        <w:t>VANDANA SHARMA</w:t>
      </w:r>
      <w:r w:rsidRPr="00F350BD">
        <w:rPr>
          <w:sz w:val="22"/>
          <w:szCs w:val="22"/>
        </w:rPr>
        <w:t>]</w:t>
      </w:r>
      <w:r w:rsidR="00C6298B" w:rsidRPr="00F350BD">
        <w:rPr>
          <w:sz w:val="22"/>
          <w:szCs w:val="22"/>
        </w:rPr>
        <w:t xml:space="preserve"> </w:t>
      </w:r>
    </w:p>
    <w:p w14:paraId="034509EE" w14:textId="5C418246" w:rsidR="00F34F83" w:rsidRDefault="00FC0A35">
      <w:pPr>
        <w:spacing w:after="217" w:line="259" w:lineRule="auto"/>
        <w:ind w:right="33"/>
        <w:jc w:val="right"/>
        <w:rPr>
          <w:sz w:val="22"/>
          <w:szCs w:val="22"/>
        </w:rPr>
      </w:pPr>
      <w:r w:rsidRPr="00F350BD">
        <w:rPr>
          <w:sz w:val="22"/>
          <w:szCs w:val="22"/>
        </w:rPr>
        <w:t xml:space="preserve">   </w:t>
      </w:r>
      <w:r w:rsidR="00BF3A29" w:rsidRPr="00F350BD">
        <w:rPr>
          <w:sz w:val="22"/>
          <w:szCs w:val="22"/>
        </w:rPr>
        <w:t>Secretary</w:t>
      </w:r>
    </w:p>
    <w:p w14:paraId="37ECC750" w14:textId="77777777" w:rsidR="00DA4415" w:rsidRPr="00500AA6" w:rsidRDefault="00DA4415" w:rsidP="00DA4415">
      <w:pPr>
        <w:tabs>
          <w:tab w:val="center" w:pos="720"/>
          <w:tab w:val="center" w:pos="1440"/>
          <w:tab w:val="center" w:pos="2161"/>
          <w:tab w:val="center" w:pos="5628"/>
        </w:tabs>
        <w:spacing w:after="0" w:line="271" w:lineRule="auto"/>
        <w:ind w:left="-17" w:right="0" w:firstLine="0"/>
        <w:jc w:val="right"/>
        <w:rPr>
          <w:sz w:val="22"/>
          <w:szCs w:val="22"/>
        </w:rPr>
      </w:pPr>
      <w:r w:rsidRPr="00500AA6">
        <w:rPr>
          <w:sz w:val="22"/>
          <w:szCs w:val="22"/>
        </w:rPr>
        <w:t xml:space="preserve">                                                           [PNGRB/Fin/8-OC(1)/2018(P-836)] </w:t>
      </w:r>
    </w:p>
    <w:p w14:paraId="582FAC2B" w14:textId="77777777" w:rsidR="00DA4415" w:rsidRPr="00F350BD" w:rsidRDefault="00DA4415">
      <w:pPr>
        <w:spacing w:after="217" w:line="259" w:lineRule="auto"/>
        <w:ind w:right="33"/>
        <w:jc w:val="right"/>
        <w:rPr>
          <w:sz w:val="22"/>
          <w:szCs w:val="22"/>
        </w:rPr>
      </w:pPr>
    </w:p>
    <w:p w14:paraId="6921C618" w14:textId="41F76B24" w:rsidR="00F34F83" w:rsidRPr="00F350BD" w:rsidRDefault="00C6298B">
      <w:pPr>
        <w:ind w:left="293" w:right="34"/>
        <w:rPr>
          <w:sz w:val="22"/>
          <w:szCs w:val="22"/>
        </w:rPr>
      </w:pPr>
      <w:r w:rsidRPr="00F350BD">
        <w:rPr>
          <w:b/>
          <w:sz w:val="22"/>
          <w:szCs w:val="22"/>
        </w:rPr>
        <w:t>Foot Note:</w:t>
      </w:r>
      <w:r w:rsidRPr="00F350BD">
        <w:rPr>
          <w:sz w:val="22"/>
          <w:szCs w:val="22"/>
        </w:rPr>
        <w:t xml:space="preserve"> The Principal regulations were notified </w:t>
      </w:r>
      <w:r w:rsidRPr="00F350BD">
        <w:rPr>
          <w:i/>
          <w:sz w:val="22"/>
          <w:szCs w:val="22"/>
        </w:rPr>
        <w:t xml:space="preserve">vide </w:t>
      </w:r>
      <w:r w:rsidRPr="00F350BD">
        <w:rPr>
          <w:sz w:val="22"/>
          <w:szCs w:val="22"/>
        </w:rPr>
        <w:t>No. G.S.R. 732 (E), dated 26th November, 2007 and amended vide G.S.R. 477 (E)</w:t>
      </w:r>
      <w:r w:rsidR="00BC28C6" w:rsidRPr="00F350BD">
        <w:rPr>
          <w:sz w:val="22"/>
          <w:szCs w:val="22"/>
        </w:rPr>
        <w:t>,</w:t>
      </w:r>
      <w:r w:rsidRPr="00F350BD">
        <w:rPr>
          <w:sz w:val="22"/>
          <w:szCs w:val="22"/>
        </w:rPr>
        <w:t xml:space="preserve"> dated 7th June, 2010, F. No. Legal/50/2013 dated 21st June, 2013, F. No. PNGRB/F&amp;C/Amendment PNGRB Regulations</w:t>
      </w:r>
      <w:r w:rsidR="00571DC3" w:rsidRPr="00F350BD">
        <w:rPr>
          <w:sz w:val="22"/>
          <w:szCs w:val="22"/>
        </w:rPr>
        <w:t>,</w:t>
      </w:r>
      <w:r w:rsidRPr="00F350BD">
        <w:rPr>
          <w:sz w:val="22"/>
          <w:szCs w:val="22"/>
        </w:rPr>
        <w:t xml:space="preserve"> dated 3rd January, 2019 and F. No. PNGRB/Fin./8-</w:t>
      </w:r>
      <w:r w:rsidR="00DA4415" w:rsidRPr="00DA4415">
        <w:rPr>
          <w:sz w:val="22"/>
          <w:szCs w:val="22"/>
        </w:rPr>
        <w:t>OC (</w:t>
      </w:r>
      <w:r w:rsidRPr="00F350BD">
        <w:rPr>
          <w:sz w:val="22"/>
          <w:szCs w:val="22"/>
        </w:rPr>
        <w:t xml:space="preserve">1)/2018 dated 13th May, 2020.  </w:t>
      </w:r>
    </w:p>
    <w:sectPr w:rsidR="00F34F83" w:rsidRPr="00F350BD" w:rsidSect="00F350BD">
      <w:footerReference w:type="default" r:id="rId8"/>
      <w:pgSz w:w="11906" w:h="16838"/>
      <w:pgMar w:top="567" w:right="1392" w:bottom="14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AFB2A" w14:textId="77777777" w:rsidR="004213F4" w:rsidRDefault="004213F4" w:rsidP="00110B25">
      <w:pPr>
        <w:spacing w:after="0" w:line="240" w:lineRule="auto"/>
      </w:pPr>
      <w:r>
        <w:separator/>
      </w:r>
    </w:p>
  </w:endnote>
  <w:endnote w:type="continuationSeparator" w:id="0">
    <w:p w14:paraId="48030645" w14:textId="77777777" w:rsidR="004213F4" w:rsidRDefault="004213F4" w:rsidP="0011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667606"/>
      <w:docPartObj>
        <w:docPartGallery w:val="Page Numbers (Bottom of Page)"/>
        <w:docPartUnique/>
      </w:docPartObj>
    </w:sdtPr>
    <w:sdtEndPr>
      <w:rPr>
        <w:noProof/>
      </w:rPr>
    </w:sdtEndPr>
    <w:sdtContent>
      <w:p w14:paraId="788734D5" w14:textId="635B6A76" w:rsidR="00110B25" w:rsidRDefault="00110B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5AAF0A" w14:textId="77777777" w:rsidR="00110B25" w:rsidRDefault="0011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41660" w14:textId="77777777" w:rsidR="004213F4" w:rsidRDefault="004213F4" w:rsidP="00110B25">
      <w:pPr>
        <w:spacing w:after="0" w:line="240" w:lineRule="auto"/>
      </w:pPr>
      <w:r>
        <w:separator/>
      </w:r>
    </w:p>
  </w:footnote>
  <w:footnote w:type="continuationSeparator" w:id="0">
    <w:p w14:paraId="2F0EE34B" w14:textId="77777777" w:rsidR="004213F4" w:rsidRDefault="004213F4" w:rsidP="00110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E4DAD"/>
    <w:multiLevelType w:val="hybridMultilevel"/>
    <w:tmpl w:val="4F42240E"/>
    <w:lvl w:ilvl="0" w:tplc="8C6EFBB2">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3ECC7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E6A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8BAD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05A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EB9E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CAFF1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CD9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AAAB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8B113D"/>
    <w:multiLevelType w:val="hybridMultilevel"/>
    <w:tmpl w:val="F91A14C8"/>
    <w:lvl w:ilvl="0" w:tplc="802A3086">
      <w:start w:val="3"/>
      <w:numFmt w:val="lowerLetter"/>
      <w:lvlText w:val="(%1)"/>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831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0AE1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C95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402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E82F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437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A4D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2F5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86488C"/>
    <w:multiLevelType w:val="hybridMultilevel"/>
    <w:tmpl w:val="CA780576"/>
    <w:lvl w:ilvl="0" w:tplc="BC64E034">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40DB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A2CB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9A8A3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E94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AC4C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68FB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608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C7B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2C39E8"/>
    <w:multiLevelType w:val="hybridMultilevel"/>
    <w:tmpl w:val="6D78ECFC"/>
    <w:lvl w:ilvl="0" w:tplc="28C6A3E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0B4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2DE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C261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482C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CB2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63B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4AC3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E0C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44292C"/>
    <w:multiLevelType w:val="hybridMultilevel"/>
    <w:tmpl w:val="89A64DAA"/>
    <w:lvl w:ilvl="0" w:tplc="DB1ECE22">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BCDF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EE8D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A50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5843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2AAF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A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479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443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171541"/>
    <w:multiLevelType w:val="hybridMultilevel"/>
    <w:tmpl w:val="1B2232D2"/>
    <w:lvl w:ilvl="0" w:tplc="33604D8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45C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AAB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CE92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AEE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CD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08C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8FF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E6CE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0F1468"/>
    <w:multiLevelType w:val="hybridMultilevel"/>
    <w:tmpl w:val="124A06B2"/>
    <w:lvl w:ilvl="0" w:tplc="530A0A46">
      <w:start w:val="1"/>
      <w:numFmt w:val="lowerLetter"/>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A88E6">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6E000">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49CDE">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207EC6">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6BDD2">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F4511E">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82400">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263920">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0778AB"/>
    <w:multiLevelType w:val="hybridMultilevel"/>
    <w:tmpl w:val="140E9AD0"/>
    <w:lvl w:ilvl="0" w:tplc="B6929A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800BE">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A694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A0B3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83D24">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8A30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68F1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8503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E3E5C">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83"/>
    <w:rsid w:val="00011248"/>
    <w:rsid w:val="0001520E"/>
    <w:rsid w:val="00027E8F"/>
    <w:rsid w:val="00110B25"/>
    <w:rsid w:val="001475BE"/>
    <w:rsid w:val="00195A3A"/>
    <w:rsid w:val="001A22C0"/>
    <w:rsid w:val="001B659E"/>
    <w:rsid w:val="00224038"/>
    <w:rsid w:val="00261FCA"/>
    <w:rsid w:val="0034002F"/>
    <w:rsid w:val="00344708"/>
    <w:rsid w:val="003636FA"/>
    <w:rsid w:val="00395C80"/>
    <w:rsid w:val="00410018"/>
    <w:rsid w:val="004213F4"/>
    <w:rsid w:val="004A6EF3"/>
    <w:rsid w:val="004D73EB"/>
    <w:rsid w:val="00571DC3"/>
    <w:rsid w:val="00573F7A"/>
    <w:rsid w:val="005862F9"/>
    <w:rsid w:val="00594EAC"/>
    <w:rsid w:val="00686E8F"/>
    <w:rsid w:val="006A07ED"/>
    <w:rsid w:val="006A212F"/>
    <w:rsid w:val="006A2A5C"/>
    <w:rsid w:val="007857ED"/>
    <w:rsid w:val="007C0482"/>
    <w:rsid w:val="00827411"/>
    <w:rsid w:val="008912D6"/>
    <w:rsid w:val="008C2518"/>
    <w:rsid w:val="008D500C"/>
    <w:rsid w:val="00923218"/>
    <w:rsid w:val="00967867"/>
    <w:rsid w:val="009D7B53"/>
    <w:rsid w:val="00A01829"/>
    <w:rsid w:val="00A31BC8"/>
    <w:rsid w:val="00AB4558"/>
    <w:rsid w:val="00AB68DC"/>
    <w:rsid w:val="00AD6E41"/>
    <w:rsid w:val="00AF68C0"/>
    <w:rsid w:val="00B72931"/>
    <w:rsid w:val="00B73A66"/>
    <w:rsid w:val="00B74BEF"/>
    <w:rsid w:val="00BB2A0E"/>
    <w:rsid w:val="00BC28C6"/>
    <w:rsid w:val="00BF3A29"/>
    <w:rsid w:val="00C06390"/>
    <w:rsid w:val="00C42ADE"/>
    <w:rsid w:val="00C6298B"/>
    <w:rsid w:val="00C9404F"/>
    <w:rsid w:val="00C978B7"/>
    <w:rsid w:val="00CA55EE"/>
    <w:rsid w:val="00CE16C6"/>
    <w:rsid w:val="00D408CF"/>
    <w:rsid w:val="00D50449"/>
    <w:rsid w:val="00DA4415"/>
    <w:rsid w:val="00E136D7"/>
    <w:rsid w:val="00E14540"/>
    <w:rsid w:val="00E461C2"/>
    <w:rsid w:val="00E93748"/>
    <w:rsid w:val="00ED684A"/>
    <w:rsid w:val="00F34F83"/>
    <w:rsid w:val="00F350BD"/>
    <w:rsid w:val="00FC0A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3182"/>
  <w15:docId w15:val="{AF373CCA-DC3B-4C56-8855-980269A4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70" w:lineRule="auto"/>
      <w:ind w:left="10" w:right="4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18"/>
      <w:ind w:left="10" w:right="5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6298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6298B"/>
    <w:rPr>
      <w:rFonts w:ascii="Segoe UI" w:eastAsia="Times New Roman" w:hAnsi="Segoe UI" w:cs="Mangal"/>
      <w:color w:val="000000"/>
      <w:sz w:val="18"/>
      <w:szCs w:val="16"/>
    </w:rPr>
  </w:style>
  <w:style w:type="paragraph" w:styleId="ListParagraph">
    <w:name w:val="List Paragraph"/>
    <w:basedOn w:val="Normal"/>
    <w:uiPriority w:val="34"/>
    <w:qFormat/>
    <w:rsid w:val="00B72931"/>
    <w:pPr>
      <w:ind w:left="720"/>
      <w:contextualSpacing/>
    </w:pPr>
    <w:rPr>
      <w:rFonts w:cs="Mangal"/>
    </w:rPr>
  </w:style>
  <w:style w:type="character" w:styleId="CommentReference">
    <w:name w:val="annotation reference"/>
    <w:basedOn w:val="DefaultParagraphFont"/>
    <w:uiPriority w:val="99"/>
    <w:semiHidden/>
    <w:unhideWhenUsed/>
    <w:rsid w:val="004D73EB"/>
    <w:rPr>
      <w:sz w:val="16"/>
      <w:szCs w:val="16"/>
    </w:rPr>
  </w:style>
  <w:style w:type="paragraph" w:styleId="CommentText">
    <w:name w:val="annotation text"/>
    <w:basedOn w:val="Normal"/>
    <w:link w:val="CommentTextChar"/>
    <w:uiPriority w:val="99"/>
    <w:semiHidden/>
    <w:unhideWhenUsed/>
    <w:rsid w:val="004D73EB"/>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4D73EB"/>
    <w:rPr>
      <w:rFonts w:ascii="Times New Roman" w:eastAsia="Times New Roman" w:hAnsi="Times New Roman" w:cs="Mangal"/>
      <w:color w:val="000000"/>
      <w:sz w:val="20"/>
      <w:szCs w:val="18"/>
    </w:rPr>
  </w:style>
  <w:style w:type="paragraph" w:styleId="CommentSubject">
    <w:name w:val="annotation subject"/>
    <w:basedOn w:val="CommentText"/>
    <w:next w:val="CommentText"/>
    <w:link w:val="CommentSubjectChar"/>
    <w:uiPriority w:val="99"/>
    <w:semiHidden/>
    <w:unhideWhenUsed/>
    <w:rsid w:val="004D73EB"/>
    <w:rPr>
      <w:b/>
      <w:bCs/>
    </w:rPr>
  </w:style>
  <w:style w:type="character" w:customStyle="1" w:styleId="CommentSubjectChar">
    <w:name w:val="Comment Subject Char"/>
    <w:basedOn w:val="CommentTextChar"/>
    <w:link w:val="CommentSubject"/>
    <w:uiPriority w:val="99"/>
    <w:semiHidden/>
    <w:rsid w:val="004D73EB"/>
    <w:rPr>
      <w:rFonts w:ascii="Times New Roman" w:eastAsia="Times New Roman" w:hAnsi="Times New Roman" w:cs="Mangal"/>
      <w:b/>
      <w:bCs/>
      <w:color w:val="000000"/>
      <w:sz w:val="20"/>
      <w:szCs w:val="18"/>
    </w:rPr>
  </w:style>
  <w:style w:type="paragraph" w:styleId="Header">
    <w:name w:val="header"/>
    <w:basedOn w:val="Normal"/>
    <w:link w:val="HeaderChar"/>
    <w:uiPriority w:val="99"/>
    <w:unhideWhenUsed/>
    <w:rsid w:val="00110B25"/>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110B25"/>
    <w:rPr>
      <w:rFonts w:ascii="Times New Roman" w:eastAsia="Times New Roman" w:hAnsi="Times New Roman" w:cs="Mangal"/>
      <w:color w:val="000000"/>
      <w:sz w:val="24"/>
    </w:rPr>
  </w:style>
  <w:style w:type="paragraph" w:styleId="Footer">
    <w:name w:val="footer"/>
    <w:basedOn w:val="Normal"/>
    <w:link w:val="FooterChar"/>
    <w:uiPriority w:val="99"/>
    <w:unhideWhenUsed/>
    <w:rsid w:val="00110B25"/>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110B25"/>
    <w:rPr>
      <w:rFonts w:ascii="Times New Roman" w:eastAsia="Times New Roman" w:hAnsi="Times New Roman" w:cs="Mang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29204-84D9-4C31-83EA-A78FA8DA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dc:creator>
  <cp:keywords/>
  <cp:lastModifiedBy>E-Admin</cp:lastModifiedBy>
  <cp:revision>5</cp:revision>
  <cp:lastPrinted>2020-09-29T05:38:00Z</cp:lastPrinted>
  <dcterms:created xsi:type="dcterms:W3CDTF">2020-09-29T05:18:00Z</dcterms:created>
  <dcterms:modified xsi:type="dcterms:W3CDTF">2020-09-29T05:52:00Z</dcterms:modified>
</cp:coreProperties>
</file>